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EA60" w14:textId="729447A1" w:rsidR="003C62A6" w:rsidRPr="00251E7B" w:rsidRDefault="003C62A6" w:rsidP="00823B21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3D8CD4EA" wp14:editId="2E14F531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B21"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4CCCF07B" w14:textId="4B0B1F19" w:rsidR="003C62A6" w:rsidRDefault="003C62A6" w:rsidP="003C62A6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4B4D8A1" w14:textId="672086A0" w:rsidR="00C37E65" w:rsidRPr="00C37E65" w:rsidRDefault="00C37E65" w:rsidP="00C37E65">
      <w:pPr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F86ADF">
        <w:rPr>
          <w:rFonts w:ascii="Times New Roman" w:hAnsi="Times New Roman"/>
          <w:b/>
          <w:color w:val="FF6600"/>
          <w:sz w:val="32"/>
          <w:szCs w:val="32"/>
        </w:rPr>
        <w:t>Калининград 23-31 мая</w:t>
      </w: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 2026 г. </w:t>
      </w:r>
    </w:p>
    <w:p w14:paraId="6494CD97" w14:textId="77777777" w:rsidR="00F86ADF" w:rsidRDefault="003C62A6" w:rsidP="00C37E65">
      <w:pPr>
        <w:ind w:firstLine="0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251E7B">
        <w:rPr>
          <w:rFonts w:ascii="Times New Roman" w:hAnsi="Times New Roman"/>
          <w:b/>
          <w:color w:val="0070C0"/>
          <w:sz w:val="28"/>
          <w:szCs w:val="28"/>
        </w:rPr>
        <w:t>Тема: «</w:t>
      </w:r>
      <w:r w:rsidR="00A86007" w:rsidRPr="00251E7B">
        <w:rPr>
          <w:rFonts w:ascii="Times New Roman" w:hAnsi="Times New Roman"/>
          <w:b/>
          <w:color w:val="0070C0"/>
          <w:sz w:val="28"/>
          <w:szCs w:val="28"/>
        </w:rPr>
        <w:t xml:space="preserve">Бухгалтерский </w:t>
      </w:r>
      <w:r w:rsidR="00F86ADF">
        <w:rPr>
          <w:rFonts w:ascii="Times New Roman" w:hAnsi="Times New Roman"/>
          <w:b/>
          <w:color w:val="0070C0"/>
          <w:sz w:val="28"/>
          <w:szCs w:val="28"/>
        </w:rPr>
        <w:t xml:space="preserve">(бюджетный) учет в организациях </w:t>
      </w:r>
    </w:p>
    <w:p w14:paraId="326711B9" w14:textId="5DB42FA6" w:rsidR="00C37E65" w:rsidRDefault="00F86ADF" w:rsidP="00C37E65">
      <w:pPr>
        <w:ind w:firstLine="0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государственного сектора</w:t>
      </w:r>
      <w:r w:rsidR="00747F39">
        <w:rPr>
          <w:rFonts w:ascii="Times New Roman" w:hAnsi="Times New Roman"/>
          <w:b/>
          <w:color w:val="0070C0"/>
          <w:sz w:val="28"/>
          <w:szCs w:val="28"/>
        </w:rPr>
        <w:t xml:space="preserve">» </w:t>
      </w:r>
    </w:p>
    <w:p w14:paraId="592871BE" w14:textId="77777777" w:rsidR="00C37E65" w:rsidRPr="00C37E65" w:rsidRDefault="00C37E65" w:rsidP="0099660D">
      <w:pPr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E42D160" w14:textId="57C181BB" w:rsidR="00C37E65" w:rsidRPr="00C37E65" w:rsidRDefault="00C37E65" w:rsidP="00C37E65">
      <w:pPr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bookmarkStart w:id="0" w:name="_GoBack"/>
      <w:r w:rsidRPr="00C37E65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</w:t>
      </w:r>
      <w:r w:rsidR="00F86ADF">
        <w:rPr>
          <w:rFonts w:ascii="Times New Roman" w:hAnsi="Times New Roman"/>
          <w:color w:val="404040" w:themeColor="text1" w:themeTint="BF"/>
          <w:szCs w:val="24"/>
        </w:rPr>
        <w:t>72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</w:t>
      </w:r>
      <w:proofErr w:type="spellStart"/>
      <w:r w:rsidRPr="00C37E65">
        <w:rPr>
          <w:rFonts w:ascii="Times New Roman" w:hAnsi="Times New Roman"/>
          <w:color w:val="404040" w:themeColor="text1" w:themeTint="BF"/>
          <w:szCs w:val="24"/>
        </w:rPr>
        <w:t>ак</w:t>
      </w:r>
      <w:proofErr w:type="spellEnd"/>
      <w:r w:rsidRPr="00C37E65">
        <w:rPr>
          <w:rFonts w:ascii="Times New Roman" w:hAnsi="Times New Roman"/>
          <w:color w:val="404040" w:themeColor="text1" w:themeTint="BF"/>
          <w:szCs w:val="24"/>
        </w:rPr>
        <w:t>. часов</w:t>
      </w:r>
    </w:p>
    <w:p w14:paraId="64675984" w14:textId="72A30689" w:rsidR="00C37E65" w:rsidRPr="00C37E65" w:rsidRDefault="00C37E65" w:rsidP="00C37E65">
      <w:pPr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C37E65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– </w:t>
      </w:r>
      <w:r w:rsidR="00F86ADF">
        <w:rPr>
          <w:rFonts w:ascii="Times New Roman" w:hAnsi="Times New Roman"/>
          <w:color w:val="404040" w:themeColor="text1" w:themeTint="BF"/>
          <w:szCs w:val="24"/>
        </w:rPr>
        <w:t>59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000 рублей</w:t>
      </w:r>
    </w:p>
    <w:p w14:paraId="6BE210B7" w14:textId="77777777" w:rsidR="00C37E65" w:rsidRPr="00C37E65" w:rsidRDefault="00C37E65" w:rsidP="00C37E65">
      <w:pPr>
        <w:ind w:firstLine="0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5AA82EAB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C37E65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1134F6F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5CDB0BB9" w14:textId="20FE8FD7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Одноместный номер с человека – от 1</w:t>
      </w:r>
      <w:r w:rsidR="00FE5798">
        <w:rPr>
          <w:rFonts w:ascii="Times New Roman" w:hAnsi="Times New Roman"/>
          <w:b/>
          <w:color w:val="404040" w:themeColor="text1" w:themeTint="BF"/>
          <w:sz w:val="24"/>
          <w:szCs w:val="24"/>
        </w:rPr>
        <w:t>30</w:t>
      </w: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 000 руб.                              </w:t>
      </w:r>
    </w:p>
    <w:p w14:paraId="5A5D8D1A" w14:textId="201A8B58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</w:t>
      </w:r>
      <w:r w:rsidR="00FE579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118 </w:t>
      </w: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000 руб.</w:t>
      </w:r>
      <w:r w:rsidRPr="00C37E65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bookmarkEnd w:id="0"/>
    <w:p w14:paraId="177B69A9" w14:textId="7CB287B8" w:rsidR="00852965" w:rsidRPr="00251E7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251E7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251E7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0BFA8353" w:rsidR="00852965" w:rsidRPr="00251E7B" w:rsidRDefault="00852965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p w14:paraId="4398FE6A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1. Актуальные вопросы по применению новых федеральных стандартов по бухгалтерскому (бюджетному) учету для организаций бюджетной сферы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: требования к аналитике и первичным документам; допустимые бухгалтерские записи в письмах Минфина РФ от 22.12.2025 № 02-07-09/124784 «О методических рекомендациях по применению СГС «План счетов бюджетного учета» № 02-07-08/124785 «О методических рекомендациях по применению СГС «План счетов бюджетного учета бюджетных и автономных учреждений»: увязка содержания факта хозяйственной жизни, первичного (сводного) учетного документа с бухгалтерскими записями на счетах, с указанием обязательных аналитических признаков при отражении в регистрах бухгалтерского учета по соответствующим корреспондирующим счетам, сохранение подходов к методологии бухгалтерского учета,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сроки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отражения бухгалтерских операций в регистрах бухгалтерского учета  порядок применения способа «Красное </w:t>
      </w:r>
      <w:proofErr w:type="spellStart"/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сторно</w:t>
      </w:r>
      <w:proofErr w:type="spellEnd"/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», исправление выявленных ошибок, перерегистрация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показателей (остатков) обязательств текущего финансового года.</w:t>
      </w:r>
    </w:p>
    <w:p w14:paraId="5F64FA7A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График документооборота на 2026 год с новыми формами первичных документов и обязательными условиями: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ответственность за оформление и предоставление первичных документов в соответствии с графиком документооборота у субъектов учета и в централизованных бухгалтериях; ответственность комиссии по поступлению и выбытию активов, инвентаризационной комиссии, финансово-экономической, контрактной службы в графике документооборота по предоставлению сведений и документов; новый документ- требование главного по истребованию документов, которые задерживаются, ответственность за нарушение сроков предоставления документов в бухгалтерию </w:t>
      </w:r>
    </w:p>
    <w:p w14:paraId="3FEA0F95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3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Электронный документооборот в 2026 году: 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30 сентября 2024 г. N 144н «О внесении изменений в Приказ 61н о применении электронных форм первичных учетных документов» (изменения в Акте приемки товаров работ услуг (ф. 0510452) - кто и как должен подписывать документ с 1 января 2026 года; Акт сверки расчетов (ф. 0510477) – новая форма унифицированных документов, для сверки каких расчетов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применяется; новые формы инвентаризационных описей; Акт о результатах инвентаризации (ф. 0510463) новая редакция, какие изменения необходимо учесть при инвентаризации в течении года). Как закупать, выдавать и учитывать хозяйственный инвентарь, числящийся на счетах 101 05, 105 06. Формирование электронных документов для списания имущества: основных средств и материальных запасов в свете последних разъяснений и писем Минфина РФ. </w:t>
      </w:r>
    </w:p>
    <w:p w14:paraId="1164AB3C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: (Приказ Минфина РФ от 14.02.2025 N 15н о внесении изменений в приказ 274н: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контроля, от контроля сотрудников в соответствии с их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должностными обязанностями до руководителя или должностными лицами субъекта учета (централизованной бухгалтерии); мероприятия внутреннего контроля в том числе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 использованием информационных систем.</w:t>
      </w:r>
    </w:p>
    <w:p w14:paraId="5E09EA0C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5. Порядок признания </w:t>
      </w:r>
      <w:bookmarkStart w:id="1" w:name="_Hlk219148348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просроченной дебиторской задолженности</w:t>
      </w:r>
      <w:bookmarkEnd w:id="1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, не соответствующей критерию актива (сомнительной дебиторской задолженности):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Письмо Минфина России от 30.12.2025 № 02-07-08/128491 «Методические рекомендации по признанию просроченной дебиторской задолженности сомнительной» (наблюдение за текущей дебиторской задолженностью; анализ состояния дебиторской задолженности;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мониторинг состояния дебиторской задолженности на регулярной основе; бухгалтерские проводки по задолженности с учетом ФСБУ СГС «Доходы»,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сроки предоставления информации по задолженности в бухгалтерию, просроченная дебиторская задолженность по доходам, порядок признания безнадежной к взысканию задолженности по платежам в бюджет.</w:t>
      </w:r>
    </w:p>
    <w:p w14:paraId="3D64B29D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29.08.2025 № 120н:</w:t>
      </w: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бухгалтерского учета, кто подписывает документы,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контроль за своевременностью размещения документов,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устранения выявленных отклонений.</w:t>
      </w:r>
    </w:p>
    <w:p w14:paraId="5B250C39" w14:textId="77777777" w:rsidR="00243F84" w:rsidRPr="0068150D" w:rsidRDefault="00243F84" w:rsidP="0068150D">
      <w:pPr>
        <w:spacing w:line="256" w:lineRule="auto"/>
        <w:ind w:firstLine="0"/>
        <w:jc w:val="both"/>
        <w:rPr>
          <w:rFonts w:ascii="Times New Roman" w:eastAsia="Calibri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eastAsia="Calibri" w:hAnsi="Times New Roman"/>
          <w:b/>
          <w:color w:val="404040" w:themeColor="text1" w:themeTint="BF"/>
          <w:sz w:val="24"/>
          <w:szCs w:val="24"/>
        </w:rPr>
        <w:t xml:space="preserve">          7. Учетная политика казенных, бюджетных и автономных учреждений в 2026 году, что изменить в учетной политике:</w:t>
      </w:r>
      <w:r w:rsidRPr="0068150D">
        <w:rPr>
          <w:rFonts w:ascii="Times New Roman" w:eastAsia="Calibri" w:hAnsi="Times New Roman"/>
          <w:color w:val="404040" w:themeColor="text1" w:themeTint="BF"/>
          <w:sz w:val="24"/>
          <w:szCs w:val="24"/>
        </w:rPr>
        <w:t xml:space="preserve"> ссылка на новые Стандарты № 121н, 132н, 133н; утвердить разбивку материальных запасов по группам; выбрать дату начисления амортизации (уже не только 1-е число); прописать доходы и расходы будущих периодов; определить правила учета на забалансовых счетах; обновить документооборот и график ЭДО; доработать внутренний контроль, внести изменения в рабочий план счетов.</w:t>
      </w:r>
    </w:p>
    <w:p w14:paraId="3752C2B8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8. Обзор разъясняющих писем Минфина и ФНС России по следующим направлениям: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налог на прибыль, НДС, налог на имущество, НДФЛ и т.д.; Последние разъяснения и рекомендации контролирующих органов. Сложные и спорные ситуации.</w:t>
      </w:r>
    </w:p>
    <w:p w14:paraId="248CAB6B" w14:textId="7D04E8C7" w:rsidR="00243F84" w:rsidRPr="0068150D" w:rsidRDefault="00243F84" w:rsidP="00B871A5">
      <w:pPr>
        <w:ind w:firstLine="0"/>
        <w:jc w:val="both"/>
        <w:rPr>
          <w:rFonts w:ascii="Times New Roman" w:hAnsi="Times New Roman"/>
          <w:b/>
          <w:color w:val="404040" w:themeColor="text1" w:themeTint="BF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9. Ответы на вопросы слушателей.</w:t>
      </w:r>
    </w:p>
    <w:p w14:paraId="5D9D9032" w14:textId="77777777" w:rsidR="00243F84" w:rsidRPr="00251E7B" w:rsidRDefault="00243F84" w:rsidP="0068150D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244B75DA" w14:textId="77777777" w:rsidR="00DE7D74" w:rsidRPr="00251E7B" w:rsidRDefault="00DE7D74" w:rsidP="00DE7D74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6BB8E36" w14:textId="77777777" w:rsidR="00DE7D74" w:rsidRPr="00251E7B" w:rsidRDefault="00DE7D74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sectPr w:rsidR="00DE7D74" w:rsidRPr="00251E7B" w:rsidSect="003E3DE4">
      <w:pgSz w:w="11906" w:h="16838"/>
      <w:pgMar w:top="568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9"/>
  </w:num>
  <w:num w:numId="5">
    <w:abstractNumId w:val="5"/>
  </w:num>
  <w:num w:numId="6">
    <w:abstractNumId w:val="30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1"/>
  </w:num>
  <w:num w:numId="18">
    <w:abstractNumId w:val="3"/>
  </w:num>
  <w:num w:numId="19">
    <w:abstractNumId w:val="15"/>
  </w:num>
  <w:num w:numId="20">
    <w:abstractNumId w:val="29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3"/>
  </w:num>
  <w:num w:numId="27">
    <w:abstractNumId w:val="27"/>
  </w:num>
  <w:num w:numId="28">
    <w:abstractNumId w:val="28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198C"/>
    <w:rsid w:val="00053220"/>
    <w:rsid w:val="00063D45"/>
    <w:rsid w:val="00087021"/>
    <w:rsid w:val="000A40BD"/>
    <w:rsid w:val="000D0649"/>
    <w:rsid w:val="000D5718"/>
    <w:rsid w:val="000E055B"/>
    <w:rsid w:val="00113BF8"/>
    <w:rsid w:val="00131076"/>
    <w:rsid w:val="00136284"/>
    <w:rsid w:val="0017151D"/>
    <w:rsid w:val="00191FD5"/>
    <w:rsid w:val="001B14FF"/>
    <w:rsid w:val="001F7B3D"/>
    <w:rsid w:val="002006A2"/>
    <w:rsid w:val="00202739"/>
    <w:rsid w:val="002169DD"/>
    <w:rsid w:val="00241579"/>
    <w:rsid w:val="00243F84"/>
    <w:rsid w:val="00247759"/>
    <w:rsid w:val="00251E7B"/>
    <w:rsid w:val="0027554E"/>
    <w:rsid w:val="00290C08"/>
    <w:rsid w:val="002A405B"/>
    <w:rsid w:val="00311339"/>
    <w:rsid w:val="00332DF2"/>
    <w:rsid w:val="003457C9"/>
    <w:rsid w:val="003529FF"/>
    <w:rsid w:val="00364AD3"/>
    <w:rsid w:val="00385BA4"/>
    <w:rsid w:val="003C62A6"/>
    <w:rsid w:val="003E3DE4"/>
    <w:rsid w:val="003E4473"/>
    <w:rsid w:val="003F3EEC"/>
    <w:rsid w:val="004133D9"/>
    <w:rsid w:val="00442DF1"/>
    <w:rsid w:val="004447D7"/>
    <w:rsid w:val="00450726"/>
    <w:rsid w:val="00453B29"/>
    <w:rsid w:val="00470B80"/>
    <w:rsid w:val="00477998"/>
    <w:rsid w:val="00484C03"/>
    <w:rsid w:val="00485288"/>
    <w:rsid w:val="00493DE3"/>
    <w:rsid w:val="004953D9"/>
    <w:rsid w:val="004C42B3"/>
    <w:rsid w:val="004D3F74"/>
    <w:rsid w:val="004E321E"/>
    <w:rsid w:val="005013A0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150D"/>
    <w:rsid w:val="006860D8"/>
    <w:rsid w:val="006C569B"/>
    <w:rsid w:val="006D1531"/>
    <w:rsid w:val="006E611C"/>
    <w:rsid w:val="00717CA1"/>
    <w:rsid w:val="007246C6"/>
    <w:rsid w:val="00745823"/>
    <w:rsid w:val="00746C3B"/>
    <w:rsid w:val="00747F39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52965"/>
    <w:rsid w:val="00883C4D"/>
    <w:rsid w:val="008C09DD"/>
    <w:rsid w:val="008F1C04"/>
    <w:rsid w:val="00925ACE"/>
    <w:rsid w:val="00931ADB"/>
    <w:rsid w:val="00932FC7"/>
    <w:rsid w:val="009357A9"/>
    <w:rsid w:val="00976986"/>
    <w:rsid w:val="0099660D"/>
    <w:rsid w:val="009D5DE5"/>
    <w:rsid w:val="00A10926"/>
    <w:rsid w:val="00A20D0D"/>
    <w:rsid w:val="00A33832"/>
    <w:rsid w:val="00A3672C"/>
    <w:rsid w:val="00A768FC"/>
    <w:rsid w:val="00A837A1"/>
    <w:rsid w:val="00A86007"/>
    <w:rsid w:val="00A86C90"/>
    <w:rsid w:val="00A8799C"/>
    <w:rsid w:val="00AC475F"/>
    <w:rsid w:val="00B130DA"/>
    <w:rsid w:val="00B15558"/>
    <w:rsid w:val="00B25FF9"/>
    <w:rsid w:val="00B44F0E"/>
    <w:rsid w:val="00B45BBE"/>
    <w:rsid w:val="00B871A5"/>
    <w:rsid w:val="00B92F20"/>
    <w:rsid w:val="00BF0C73"/>
    <w:rsid w:val="00C148DC"/>
    <w:rsid w:val="00C37E65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76590"/>
    <w:rsid w:val="00E92069"/>
    <w:rsid w:val="00EA4DF0"/>
    <w:rsid w:val="00EB18A1"/>
    <w:rsid w:val="00EE4236"/>
    <w:rsid w:val="00EF4ED9"/>
    <w:rsid w:val="00F228EB"/>
    <w:rsid w:val="00F31C16"/>
    <w:rsid w:val="00F35062"/>
    <w:rsid w:val="00F61A35"/>
    <w:rsid w:val="00F85F11"/>
    <w:rsid w:val="00F86ADF"/>
    <w:rsid w:val="00F87999"/>
    <w:rsid w:val="00FC1E1E"/>
    <w:rsid w:val="00FD12E6"/>
    <w:rsid w:val="00FE28D5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68150D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68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3BA9-6C1C-43D8-A472-FF1E9DCE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21</cp:revision>
  <cp:lastPrinted>2017-12-25T13:33:00Z</cp:lastPrinted>
  <dcterms:created xsi:type="dcterms:W3CDTF">2024-01-15T09:52:00Z</dcterms:created>
  <dcterms:modified xsi:type="dcterms:W3CDTF">2026-02-13T11:23:00Z</dcterms:modified>
  <dc:language>ru-RU</dc:language>
</cp:coreProperties>
</file>