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5F01" w14:textId="77777777" w:rsidR="00D134D1" w:rsidRPr="0020032A" w:rsidRDefault="00D134D1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</w:p>
    <w:p w14:paraId="4FED73D7" w14:textId="77777777" w:rsidR="00424106" w:rsidRPr="0020032A" w:rsidRDefault="0015025F" w:rsidP="00D134D1">
      <w:pPr>
        <w:spacing w:after="0" w:line="240" w:lineRule="auto"/>
        <w:ind w:left="5"/>
        <w:jc w:val="center"/>
        <w:rPr>
          <w:rFonts w:ascii="Arial" w:hAnsi="Arial" w:cs="Amiri Quran"/>
          <w:b/>
          <w:color w:val="404040" w:themeColor="text1" w:themeTint="BF"/>
          <w:sz w:val="18"/>
          <w:szCs w:val="18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24702CED" wp14:editId="4B267566">
            <wp:extent cx="642959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20" cy="7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1EE13" w14:textId="77777777" w:rsidR="00F144AF" w:rsidRPr="0020032A" w:rsidRDefault="00F144AF" w:rsidP="0020032A">
      <w:pPr>
        <w:spacing w:after="0" w:line="240" w:lineRule="auto"/>
        <w:ind w:left="5"/>
        <w:jc w:val="center"/>
        <w:rPr>
          <w:rFonts w:ascii="Times New Roman" w:hAnsi="Times New Roman"/>
          <w:b/>
          <w:color w:val="404040" w:themeColor="text1" w:themeTint="BF"/>
          <w:sz w:val="18"/>
          <w:szCs w:val="18"/>
          <w:lang w:val="en-US"/>
        </w:rPr>
      </w:pPr>
    </w:p>
    <w:p w14:paraId="0A97291F" w14:textId="3BDBA4C1" w:rsidR="00D134D1" w:rsidRPr="0020032A" w:rsidRDefault="00D134D1" w:rsidP="0020032A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2B9E183" w14:textId="44424901" w:rsidR="00F94BDC" w:rsidRDefault="002B619A" w:rsidP="00E87333">
      <w:pPr>
        <w:spacing w:after="0" w:line="240" w:lineRule="auto"/>
        <w:jc w:val="center"/>
        <w:outlineLvl w:val="0"/>
        <w:rPr>
          <w:rFonts w:ascii="Arial" w:hAnsi="Arial" w:cs="Arial"/>
          <w:color w:val="404040"/>
        </w:rPr>
      </w:pPr>
      <w:r w:rsidRPr="0020032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D32003" w:rsidRPr="0020032A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 xml:space="preserve">Управление государственным (муниципальным) учреждением. </w:t>
      </w:r>
      <w:r w:rsidR="00432E43">
        <w:rPr>
          <w:rFonts w:ascii="Times New Roman" w:hAnsi="Times New Roman"/>
          <w:b/>
          <w:color w:val="0070C0"/>
          <w:sz w:val="28"/>
          <w:szCs w:val="28"/>
        </w:rPr>
        <w:t>Повышение квалификации руководителя</w:t>
      </w:r>
      <w:r w:rsidR="00C1547A" w:rsidRPr="00C1547A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C1547A">
        <w:rPr>
          <w:rFonts w:ascii="Arial" w:hAnsi="Arial" w:cs="Arial"/>
          <w:color w:val="404040"/>
        </w:rPr>
        <w:t xml:space="preserve"> </w:t>
      </w:r>
    </w:p>
    <w:p w14:paraId="07ADC033" w14:textId="215C7CF8" w:rsidR="0020032A" w:rsidRPr="00EA0193" w:rsidRDefault="00EA0193" w:rsidP="00EA0193">
      <w:pPr>
        <w:pStyle w:val="a4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EA0193">
        <w:rPr>
          <w:rFonts w:ascii="Times New Roman" w:hAnsi="Times New Roman"/>
          <w:b/>
          <w:color w:val="FF6600"/>
          <w:sz w:val="32"/>
          <w:szCs w:val="32"/>
        </w:rPr>
        <w:t>г. Москва 12-17 апреля 2026 г.</w:t>
      </w:r>
    </w:p>
    <w:p w14:paraId="758D5815" w14:textId="700DE17A" w:rsidR="003B079B" w:rsidRPr="00EA0193" w:rsidRDefault="00F94BDC" w:rsidP="00EA0193">
      <w:pPr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r w:rsidRPr="00EA0193">
        <w:rPr>
          <w:rFonts w:ascii="Times New Roman" w:hAnsi="Times New Roman"/>
          <w:bCs/>
          <w:color w:val="404040" w:themeColor="text1" w:themeTint="BF"/>
        </w:rPr>
        <w:t>Для р</w:t>
      </w:r>
      <w:r w:rsidR="00E56506" w:rsidRPr="00EA0193">
        <w:rPr>
          <w:rFonts w:ascii="Times New Roman" w:hAnsi="Times New Roman"/>
          <w:bCs/>
          <w:color w:val="404040" w:themeColor="text1" w:themeTint="BF"/>
        </w:rPr>
        <w:t xml:space="preserve">уководителей органов государственной власти и местного самоуправления; специалистов, включенных в управленческий кадровый резерв. </w:t>
      </w:r>
    </w:p>
    <w:p w14:paraId="680C59D9" w14:textId="77777777" w:rsidR="00EA0193" w:rsidRPr="00EA0193" w:rsidRDefault="00EA0193" w:rsidP="00EA0193">
      <w:pPr>
        <w:spacing w:after="0"/>
        <w:ind w:left="360"/>
        <w:jc w:val="center"/>
        <w:rPr>
          <w:rFonts w:ascii="Times New Roman" w:hAnsi="Times New Roman"/>
          <w:b/>
          <w:color w:val="4A442A" w:themeColor="background2" w:themeShade="40"/>
          <w:sz w:val="24"/>
          <w:szCs w:val="24"/>
        </w:rPr>
      </w:pPr>
    </w:p>
    <w:p w14:paraId="3CDFD0D2" w14:textId="77777777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40 </w:t>
      </w:r>
      <w:proofErr w:type="spellStart"/>
      <w:r w:rsidRPr="00EA0193">
        <w:rPr>
          <w:rFonts w:ascii="Times New Roman" w:hAnsi="Times New Roman"/>
          <w:color w:val="404040" w:themeColor="text1" w:themeTint="BF"/>
          <w:szCs w:val="24"/>
        </w:rPr>
        <w:t>ак</w:t>
      </w:r>
      <w:proofErr w:type="spellEnd"/>
      <w:r w:rsidRPr="00EA0193">
        <w:rPr>
          <w:rFonts w:ascii="Times New Roman" w:hAnsi="Times New Roman"/>
          <w:color w:val="404040" w:themeColor="text1" w:themeTint="BF"/>
          <w:szCs w:val="24"/>
        </w:rPr>
        <w:t>. часов</w:t>
      </w:r>
    </w:p>
    <w:p w14:paraId="715ACCD9" w14:textId="77777777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EA0193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EA0193">
        <w:rPr>
          <w:rFonts w:ascii="Times New Roman" w:hAnsi="Times New Roman"/>
          <w:color w:val="404040" w:themeColor="text1" w:themeTint="BF"/>
          <w:szCs w:val="24"/>
        </w:rPr>
        <w:t xml:space="preserve"> – 55 000 рублей</w:t>
      </w:r>
    </w:p>
    <w:p w14:paraId="43718264" w14:textId="77777777" w:rsidR="00EA0193" w:rsidRPr="00EA0193" w:rsidRDefault="00EA0193" w:rsidP="00EA0193">
      <w:pPr>
        <w:spacing w:after="0"/>
        <w:ind w:left="36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74A3FCFC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522D3466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2B4019C7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110 000 руб.                              </w:t>
      </w:r>
    </w:p>
    <w:p w14:paraId="5529B046" w14:textId="77777777" w:rsidR="00EA0193" w:rsidRPr="00EA0193" w:rsidRDefault="00EA0193" w:rsidP="00EA0193">
      <w:pPr>
        <w:spacing w:after="0"/>
        <w:ind w:left="36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A0193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 98 000 руб.</w:t>
      </w:r>
      <w:r w:rsidRPr="00EA0193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14:paraId="5F8FE7C6" w14:textId="77777777" w:rsidR="00EA0193" w:rsidRPr="00EA0193" w:rsidRDefault="00EA0193" w:rsidP="00EA0193">
      <w:pPr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  <w:bookmarkStart w:id="0" w:name="_GoBack"/>
      <w:bookmarkEnd w:id="0"/>
    </w:p>
    <w:p w14:paraId="00C3A50E" w14:textId="77777777" w:rsidR="0020032A" w:rsidRPr="0020032A" w:rsidRDefault="0020032A" w:rsidP="0020032A">
      <w:pPr>
        <w:pStyle w:val="a4"/>
        <w:spacing w:after="0" w:line="240" w:lineRule="auto"/>
        <w:jc w:val="both"/>
        <w:outlineLvl w:val="0"/>
        <w:rPr>
          <w:rFonts w:ascii="Times New Roman" w:hAnsi="Times New Roman"/>
          <w:bCs/>
          <w:color w:val="404040" w:themeColor="text1" w:themeTint="BF"/>
        </w:rPr>
      </w:pPr>
    </w:p>
    <w:p w14:paraId="5F3B947B" w14:textId="465CEA17" w:rsidR="003B079B" w:rsidRPr="0020032A" w:rsidRDefault="003B079B" w:rsidP="003B079B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404040" w:themeColor="text1" w:themeTint="BF"/>
        </w:rPr>
      </w:pPr>
      <w:r w:rsidRPr="0020032A">
        <w:rPr>
          <w:rFonts w:ascii="Times New Roman" w:hAnsi="Times New Roman"/>
          <w:b/>
          <w:color w:val="404040" w:themeColor="text1" w:themeTint="BF"/>
          <w:sz w:val="28"/>
          <w:szCs w:val="28"/>
        </w:rPr>
        <w:t>Программа для руководителей.</w:t>
      </w:r>
    </w:p>
    <w:p w14:paraId="0BBC2806" w14:textId="12909CD6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1.Важные изменения в законодательстве: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Меры по противодействию задержке выплаты зарплаты и другие изменения в ТК РФ (изменения, внесенные в ТК РФ Федеральным законом от 08.08.2024 № 268-ФЗ); Федеральным законом от 30.01.2024 № 3-ФЗ уточнены нормы ст. 236 ТК РФ о порядке выплаты компенсации, ежегодные отпуска работников-инвалидов ст. 115 ТК РФ в редакции 268-ФЗ; контроль за выполнением колл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ективных договоров и соглашений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51 ТК РФ); поправки к ст. 24.5 КоАП в отношении правил прекращения дел об административных правонарушениях при нехватке бюджетных средств.</w:t>
      </w:r>
    </w:p>
    <w:p w14:paraId="4C5832E3" w14:textId="7777777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Регулирование трудовых отношений в учреждениях: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вопросы штатного расписания; новшества в срочных трудовых договоров с руководителями структурных подразделений;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расторжение трудового договора с руководителем организации; система премирования;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год.</w:t>
      </w:r>
    </w:p>
    <w:p w14:paraId="6EA51DF5" w14:textId="5AEB4F7A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</w:t>
      </w:r>
      <w:bookmarkStart w:id="1" w:name="_Hlk193188213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и правовой статус руководителя</w:t>
      </w:r>
      <w:bookmarkEnd w:id="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механизмы защиты руководителя организаций бюджетной сферы, применение антикоррупционного законодательства, профилактика коррупционных правонарушений в бюджетном учре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ждении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2" w:name="_Hlk193129155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изменения требований антитеррористической защищенности бюджетных учреждений в период проведения СВО </w:t>
      </w:r>
      <w:bookmarkStart w:id="3" w:name="_Hlk193129179"/>
      <w:bookmarkEnd w:id="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(Указ Президента РФ от 19.10.2022 №757</w:t>
      </w:r>
      <w:bookmarkEnd w:id="3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color w:val="404040" w:themeColor="text1" w:themeTint="BF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контроль учредителя; внутренний финансовый контроль и аудит; заключение соглашения о неразглашении конфиденциальной информации; </w:t>
      </w:r>
      <w:bookmarkStart w:id="4" w:name="_Hlk19312495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обязанности руководителя по обеспечению охраны и безопасности труда, и выполнению требований по гражданской обороне; ответственность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за заполнение справки о доходах.</w:t>
      </w:r>
    </w:p>
    <w:p w14:paraId="4F7B24A2" w14:textId="22D8682E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4. </w:t>
      </w:r>
      <w:bookmarkStart w:id="5" w:name="_Hlk193629168"/>
      <w:bookmarkEnd w:id="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Изменения в бюджетном законодательстве, влияющие на деятельность организаций бюджетной сферы:</w:t>
      </w:r>
      <w:bookmarkEnd w:id="5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совершенствования налогового и бюджетного законодательства (и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зменения в </w:t>
      </w:r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Бюджетный кодекс Российской Федерации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);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утверждены особенности исполнения бюджетов бю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джетной системы РФ в 2026 году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Start w:id="6" w:name="_Hlk19362921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основные направления бюджетной, налоговой и таможенно-тарифной политики на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 и на плановый период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7 и 2028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годов:</w:t>
      </w:r>
      <w:r w:rsidRPr="0020032A">
        <w:rPr>
          <w:rFonts w:ascii="Times New Roman" w:hAnsi="Times New Roman"/>
          <w:color w:val="404040" w:themeColor="text1" w:themeTint="BF"/>
          <w:sz w:val="21"/>
          <w:szCs w:val="21"/>
        </w:rPr>
        <w:t xml:space="preserve"> </w:t>
      </w:r>
      <w:bookmarkEnd w:id="6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завершение нормализации и выход на структурный первичный баланс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бюджета, преференциальные механизмы предусмотренные для региональных инвестиционных проектов.</w:t>
      </w:r>
    </w:p>
    <w:p w14:paraId="42393298" w14:textId="1F8562C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5. </w:t>
      </w:r>
      <w:bookmarkStart w:id="7" w:name="_Hlk193631501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>Установление дополнительных мер по обеспечению прозрачности и эффективности расходов бюджета</w:t>
      </w:r>
      <w:bookmarkEnd w:id="7"/>
      <w:r w:rsidRPr="0020032A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актуальные </w:t>
      </w:r>
      <w:bookmarkStart w:id="8" w:name="_Hlk19363154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правила предоставления из федерального бюджета грантов в форме субсидий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</w:t>
      </w:r>
      <w:bookmarkEnd w:id="8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; порядок предоставления субсидий на иные цели в 202</w:t>
      </w:r>
      <w:r w:rsidR="00741D0A" w:rsidRPr="0020032A"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году; </w:t>
      </w:r>
      <w:bookmarkStart w:id="9" w:name="_Hlk193634391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изменения в казначейском сопровождении субсидий</w:t>
      </w:r>
      <w:bookmarkEnd w:id="9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</w:t>
      </w:r>
      <w:bookmarkStart w:id="10" w:name="_Hlk193645157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повышение ответственности бюджетных учреждений за нецелевое и неэффективное использование субсидий</w:t>
      </w:r>
      <w:bookmarkEnd w:id="10"/>
      <w:r w:rsidR="000B5A64" w:rsidRPr="0020032A">
        <w:rPr>
          <w:rFonts w:ascii="Times New Roman" w:hAnsi="Times New Roman"/>
          <w:color w:val="404040" w:themeColor="text1" w:themeTint="BF"/>
          <w:sz w:val="24"/>
          <w:szCs w:val="24"/>
        </w:rPr>
        <w:t>, судебная практика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14:paraId="2756BF98" w14:textId="32ADEF86" w:rsidR="003B079B" w:rsidRPr="0020032A" w:rsidRDefault="003B079B" w:rsidP="003B079B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Montserrat" w:hAnsi="Montserrat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6.</w:t>
      </w:r>
      <w:bookmarkStart w:id="11" w:name="_Hlk193720474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 Ответственность за правонарушения в бюджетной сфере</w:t>
      </w:r>
      <w:bookmarkEnd w:id="11"/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профилактика и минимизация рисков, примеры судебной практики; в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иды бюджетных нарушений и бюджетные меры принуждения; выявление финансовых рисков, методы управления рисками, направленные на обеспечение соблюдения законодательных, нормативно-правовых актов, способы повышения качества бюджетной отчетности, а также эффективности расходования бюджетных средств; примеры неэффективного использования бюджетных средств; изменения в КОАП.</w:t>
      </w:r>
    </w:p>
    <w:p w14:paraId="460103E8" w14:textId="68524B57" w:rsidR="003B079B" w:rsidRPr="0020032A" w:rsidRDefault="003B079B" w:rsidP="003B079B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7. Вопросы цифровизаци</w:t>
      </w:r>
      <w:r w:rsidR="00741D0A" w:rsidRPr="0020032A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 xml:space="preserve">и бюджетного сектора экономики: </w:t>
      </w:r>
      <w:r w:rsidRPr="0020032A">
        <w:rPr>
          <w:rFonts w:ascii="Times New Roman" w:hAnsi="Times New Roman"/>
          <w:bCs/>
          <w:color w:val="404040" w:themeColor="text1" w:themeTint="BF"/>
          <w:sz w:val="24"/>
          <w:szCs w:val="24"/>
        </w:rPr>
        <w:t>цифровизация для организаций бюджетной сферы</w:t>
      </w:r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 xml:space="preserve">; ответственность руководителя организации бюджетной сферы при переходе на электронные документы; распределение обязанностей при работе с </w:t>
      </w:r>
      <w:bookmarkStart w:id="12" w:name="_Hlk193802970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официальным сайтом о государственных (муниципальных) учреждениях bus.gov.ru</w:t>
      </w:r>
      <w:bookmarkEnd w:id="12"/>
      <w:r w:rsidRPr="0020032A">
        <w:rPr>
          <w:rFonts w:ascii="Times New Roman" w:hAnsi="Times New Roman"/>
          <w:color w:val="404040" w:themeColor="text1" w:themeTint="BF"/>
          <w:sz w:val="24"/>
          <w:szCs w:val="24"/>
        </w:rPr>
        <w:t>.; ответственность руководителя в размещении информации на едином портале бюджетной системы Российской Федерации budget.gov.ru.; особенности перехода на цифровой рубль.</w:t>
      </w:r>
    </w:p>
    <w:p w14:paraId="595B73A3" w14:textId="491F63D7" w:rsidR="005562ED" w:rsidRPr="0020032A" w:rsidRDefault="005562ED" w:rsidP="00432E43">
      <w:pPr>
        <w:spacing w:after="0" w:line="240" w:lineRule="auto"/>
        <w:ind w:left="1134"/>
        <w:rPr>
          <w:rFonts w:ascii="Times New Roman" w:hAnsi="Times New Roman"/>
          <w:b/>
          <w:color w:val="404040" w:themeColor="text1" w:themeTint="BF"/>
        </w:rPr>
      </w:pPr>
    </w:p>
    <w:sectPr w:rsidR="005562ED" w:rsidRPr="0020032A" w:rsidSect="003B079B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040EE" w14:textId="77777777" w:rsidR="007D1A0C" w:rsidRDefault="007D1A0C" w:rsidP="005562ED">
      <w:pPr>
        <w:spacing w:after="0" w:line="240" w:lineRule="auto"/>
      </w:pPr>
      <w:r>
        <w:separator/>
      </w:r>
    </w:p>
  </w:endnote>
  <w:endnote w:type="continuationSeparator" w:id="0">
    <w:p w14:paraId="19CE3AA4" w14:textId="77777777" w:rsidR="007D1A0C" w:rsidRDefault="007D1A0C" w:rsidP="005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Montserrat">
    <w:altName w:val="Cambria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1AE27" w14:textId="77777777" w:rsidR="007D1A0C" w:rsidRDefault="007D1A0C" w:rsidP="005562ED">
      <w:pPr>
        <w:spacing w:after="0" w:line="240" w:lineRule="auto"/>
      </w:pPr>
      <w:r>
        <w:separator/>
      </w:r>
    </w:p>
  </w:footnote>
  <w:footnote w:type="continuationSeparator" w:id="0">
    <w:p w14:paraId="4B49B0F2" w14:textId="77777777" w:rsidR="007D1A0C" w:rsidRDefault="007D1A0C" w:rsidP="0055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4702C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C2E9"/>
      </v:shape>
    </w:pict>
  </w:numPicBullet>
  <w:abstractNum w:abstractNumId="0" w15:restartNumberingAfterBreak="0">
    <w:nsid w:val="00917453"/>
    <w:multiLevelType w:val="hybridMultilevel"/>
    <w:tmpl w:val="544A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A71"/>
    <w:multiLevelType w:val="hybridMultilevel"/>
    <w:tmpl w:val="16D0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7E"/>
    <w:multiLevelType w:val="multilevel"/>
    <w:tmpl w:val="DD5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F4E"/>
    <w:multiLevelType w:val="multilevel"/>
    <w:tmpl w:val="754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14A"/>
    <w:multiLevelType w:val="hybridMultilevel"/>
    <w:tmpl w:val="23D04476"/>
    <w:lvl w:ilvl="0" w:tplc="DBC48D4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B64D95"/>
    <w:multiLevelType w:val="multilevel"/>
    <w:tmpl w:val="491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762"/>
    <w:multiLevelType w:val="multilevel"/>
    <w:tmpl w:val="DC8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992"/>
    <w:multiLevelType w:val="hybridMultilevel"/>
    <w:tmpl w:val="5CF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C60C0"/>
    <w:multiLevelType w:val="hybridMultilevel"/>
    <w:tmpl w:val="83AE3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5E85"/>
    <w:multiLevelType w:val="hybridMultilevel"/>
    <w:tmpl w:val="265C114E"/>
    <w:lvl w:ilvl="0" w:tplc="5DA26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E07"/>
    <w:multiLevelType w:val="hybridMultilevel"/>
    <w:tmpl w:val="C15E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177"/>
    <w:multiLevelType w:val="hybridMultilevel"/>
    <w:tmpl w:val="BC92B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28E0"/>
    <w:multiLevelType w:val="multilevel"/>
    <w:tmpl w:val="C6E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6DA"/>
    <w:multiLevelType w:val="hybridMultilevel"/>
    <w:tmpl w:val="8F92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490B"/>
    <w:multiLevelType w:val="hybridMultilevel"/>
    <w:tmpl w:val="BD86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0C77"/>
    <w:multiLevelType w:val="hybridMultilevel"/>
    <w:tmpl w:val="D1DE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15E"/>
    <w:multiLevelType w:val="hybridMultilevel"/>
    <w:tmpl w:val="25023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2E07"/>
    <w:multiLevelType w:val="hybridMultilevel"/>
    <w:tmpl w:val="1A56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4FA2"/>
    <w:multiLevelType w:val="hybridMultilevel"/>
    <w:tmpl w:val="A0E4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E682E"/>
    <w:multiLevelType w:val="multilevel"/>
    <w:tmpl w:val="E4F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358CD"/>
    <w:multiLevelType w:val="hybridMultilevel"/>
    <w:tmpl w:val="0FA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2072"/>
    <w:multiLevelType w:val="hybridMultilevel"/>
    <w:tmpl w:val="4462C7B4"/>
    <w:lvl w:ilvl="0" w:tplc="BD38B2C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245E57"/>
    <w:multiLevelType w:val="hybridMultilevel"/>
    <w:tmpl w:val="08946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7A32B3"/>
    <w:multiLevelType w:val="multilevel"/>
    <w:tmpl w:val="7EE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3871"/>
    <w:multiLevelType w:val="hybridMultilevel"/>
    <w:tmpl w:val="23A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51E"/>
    <w:multiLevelType w:val="hybridMultilevel"/>
    <w:tmpl w:val="41E2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E14ED"/>
    <w:multiLevelType w:val="hybridMultilevel"/>
    <w:tmpl w:val="E8B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C06AF"/>
    <w:multiLevelType w:val="hybridMultilevel"/>
    <w:tmpl w:val="38F6AC34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7D97"/>
    <w:multiLevelType w:val="hybridMultilevel"/>
    <w:tmpl w:val="CBB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6950"/>
    <w:multiLevelType w:val="hybridMultilevel"/>
    <w:tmpl w:val="ECF6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30E15"/>
    <w:multiLevelType w:val="hybridMultilevel"/>
    <w:tmpl w:val="BEB4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104A"/>
    <w:multiLevelType w:val="multilevel"/>
    <w:tmpl w:val="2B9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D518B"/>
    <w:multiLevelType w:val="hybridMultilevel"/>
    <w:tmpl w:val="084C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815"/>
    <w:multiLevelType w:val="hybridMultilevel"/>
    <w:tmpl w:val="3A2E837C"/>
    <w:lvl w:ilvl="0" w:tplc="DBA6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94561"/>
    <w:multiLevelType w:val="hybridMultilevel"/>
    <w:tmpl w:val="C0E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64043"/>
    <w:multiLevelType w:val="hybridMultilevel"/>
    <w:tmpl w:val="86FA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581C"/>
    <w:multiLevelType w:val="hybridMultilevel"/>
    <w:tmpl w:val="ECF8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23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17"/>
  </w:num>
  <w:num w:numId="10">
    <w:abstractNumId w:val="10"/>
  </w:num>
  <w:num w:numId="11">
    <w:abstractNumId w:val="20"/>
  </w:num>
  <w:num w:numId="12">
    <w:abstractNumId w:val="34"/>
  </w:num>
  <w:num w:numId="13">
    <w:abstractNumId w:val="32"/>
  </w:num>
  <w:num w:numId="14">
    <w:abstractNumId w:val="14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36"/>
  </w:num>
  <w:num w:numId="20">
    <w:abstractNumId w:val="18"/>
  </w:num>
  <w:num w:numId="21">
    <w:abstractNumId w:val="29"/>
  </w:num>
  <w:num w:numId="22">
    <w:abstractNumId w:val="24"/>
  </w:num>
  <w:num w:numId="23">
    <w:abstractNumId w:val="11"/>
  </w:num>
  <w:num w:numId="24">
    <w:abstractNumId w:val="0"/>
  </w:num>
  <w:num w:numId="25">
    <w:abstractNumId w:val="1"/>
  </w:num>
  <w:num w:numId="26">
    <w:abstractNumId w:val="15"/>
  </w:num>
  <w:num w:numId="27">
    <w:abstractNumId w:val="8"/>
  </w:num>
  <w:num w:numId="28">
    <w:abstractNumId w:val="30"/>
  </w:num>
  <w:num w:numId="29">
    <w:abstractNumId w:val="28"/>
  </w:num>
  <w:num w:numId="30">
    <w:abstractNumId w:val="31"/>
  </w:num>
  <w:num w:numId="31">
    <w:abstractNumId w:val="22"/>
  </w:num>
  <w:num w:numId="32">
    <w:abstractNumId w:val="12"/>
  </w:num>
  <w:num w:numId="33">
    <w:abstractNumId w:val="27"/>
  </w:num>
  <w:num w:numId="34">
    <w:abstractNumId w:val="33"/>
  </w:num>
  <w:num w:numId="35">
    <w:abstractNumId w:val="19"/>
  </w:num>
  <w:num w:numId="36">
    <w:abstractNumId w:val="5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92749"/>
    <w:rsid w:val="00094662"/>
    <w:rsid w:val="000A60E4"/>
    <w:rsid w:val="000B5A64"/>
    <w:rsid w:val="000D14EA"/>
    <w:rsid w:val="00111CA6"/>
    <w:rsid w:val="00114F3E"/>
    <w:rsid w:val="00120F35"/>
    <w:rsid w:val="00122DAC"/>
    <w:rsid w:val="001352B2"/>
    <w:rsid w:val="001462DC"/>
    <w:rsid w:val="0015025F"/>
    <w:rsid w:val="001617E8"/>
    <w:rsid w:val="001B1623"/>
    <w:rsid w:val="001C7128"/>
    <w:rsid w:val="001D2A59"/>
    <w:rsid w:val="001E08C2"/>
    <w:rsid w:val="0020032A"/>
    <w:rsid w:val="00213FBA"/>
    <w:rsid w:val="002327F7"/>
    <w:rsid w:val="0023716A"/>
    <w:rsid w:val="00257077"/>
    <w:rsid w:val="00285D19"/>
    <w:rsid w:val="00291A60"/>
    <w:rsid w:val="00297EDA"/>
    <w:rsid w:val="002B619A"/>
    <w:rsid w:val="002C4390"/>
    <w:rsid w:val="002C4620"/>
    <w:rsid w:val="002D4090"/>
    <w:rsid w:val="00301F57"/>
    <w:rsid w:val="00316227"/>
    <w:rsid w:val="003201F7"/>
    <w:rsid w:val="00325015"/>
    <w:rsid w:val="0032572F"/>
    <w:rsid w:val="003523CF"/>
    <w:rsid w:val="00385721"/>
    <w:rsid w:val="00391BA5"/>
    <w:rsid w:val="00393A63"/>
    <w:rsid w:val="003948A9"/>
    <w:rsid w:val="003A1CD9"/>
    <w:rsid w:val="003A615F"/>
    <w:rsid w:val="003B079B"/>
    <w:rsid w:val="003B0F71"/>
    <w:rsid w:val="003B43F8"/>
    <w:rsid w:val="003B4512"/>
    <w:rsid w:val="003C08DE"/>
    <w:rsid w:val="003C6BAE"/>
    <w:rsid w:val="003D2ADF"/>
    <w:rsid w:val="003D3DC8"/>
    <w:rsid w:val="003D4344"/>
    <w:rsid w:val="003D6B61"/>
    <w:rsid w:val="003E30F4"/>
    <w:rsid w:val="003F13F0"/>
    <w:rsid w:val="003F6BF5"/>
    <w:rsid w:val="00424106"/>
    <w:rsid w:val="004310A3"/>
    <w:rsid w:val="00432E43"/>
    <w:rsid w:val="004875B3"/>
    <w:rsid w:val="004A534C"/>
    <w:rsid w:val="004A5E60"/>
    <w:rsid w:val="004D6F9B"/>
    <w:rsid w:val="00523148"/>
    <w:rsid w:val="00532153"/>
    <w:rsid w:val="005562ED"/>
    <w:rsid w:val="00560A59"/>
    <w:rsid w:val="00575142"/>
    <w:rsid w:val="005B1FD4"/>
    <w:rsid w:val="005C6766"/>
    <w:rsid w:val="005E6F69"/>
    <w:rsid w:val="005F41C7"/>
    <w:rsid w:val="005F6BA1"/>
    <w:rsid w:val="00614716"/>
    <w:rsid w:val="00617887"/>
    <w:rsid w:val="0062102B"/>
    <w:rsid w:val="00635048"/>
    <w:rsid w:val="00635298"/>
    <w:rsid w:val="00636E21"/>
    <w:rsid w:val="0063721A"/>
    <w:rsid w:val="00641EF8"/>
    <w:rsid w:val="00645C7B"/>
    <w:rsid w:val="006608C7"/>
    <w:rsid w:val="00675B8B"/>
    <w:rsid w:val="006A31CE"/>
    <w:rsid w:val="006A774C"/>
    <w:rsid w:val="006B1014"/>
    <w:rsid w:val="006B6394"/>
    <w:rsid w:val="006D3E1D"/>
    <w:rsid w:val="006F66C7"/>
    <w:rsid w:val="00705D62"/>
    <w:rsid w:val="00706A7C"/>
    <w:rsid w:val="00731D9E"/>
    <w:rsid w:val="00732593"/>
    <w:rsid w:val="00741D0A"/>
    <w:rsid w:val="00743BF8"/>
    <w:rsid w:val="00751481"/>
    <w:rsid w:val="00760DAB"/>
    <w:rsid w:val="00776493"/>
    <w:rsid w:val="00776F2A"/>
    <w:rsid w:val="00796989"/>
    <w:rsid w:val="00797ACD"/>
    <w:rsid w:val="007A17EF"/>
    <w:rsid w:val="007A6DC1"/>
    <w:rsid w:val="007D1A0C"/>
    <w:rsid w:val="007D2AB1"/>
    <w:rsid w:val="007D76A0"/>
    <w:rsid w:val="007F2C82"/>
    <w:rsid w:val="0081449F"/>
    <w:rsid w:val="00834CDD"/>
    <w:rsid w:val="00850187"/>
    <w:rsid w:val="00865A8E"/>
    <w:rsid w:val="00881EBB"/>
    <w:rsid w:val="008A4148"/>
    <w:rsid w:val="008A76C4"/>
    <w:rsid w:val="008B759D"/>
    <w:rsid w:val="008C3F3A"/>
    <w:rsid w:val="008E37AA"/>
    <w:rsid w:val="008F0FEF"/>
    <w:rsid w:val="008F491A"/>
    <w:rsid w:val="008F712D"/>
    <w:rsid w:val="009176CF"/>
    <w:rsid w:val="00944064"/>
    <w:rsid w:val="0096473D"/>
    <w:rsid w:val="00976462"/>
    <w:rsid w:val="009F3809"/>
    <w:rsid w:val="00A2533A"/>
    <w:rsid w:val="00A56502"/>
    <w:rsid w:val="00A610CD"/>
    <w:rsid w:val="00A66E16"/>
    <w:rsid w:val="00A7445F"/>
    <w:rsid w:val="00A76194"/>
    <w:rsid w:val="00A92269"/>
    <w:rsid w:val="00A9751E"/>
    <w:rsid w:val="00AA12E8"/>
    <w:rsid w:val="00AA2A11"/>
    <w:rsid w:val="00AC5B5B"/>
    <w:rsid w:val="00AD279E"/>
    <w:rsid w:val="00AE59C9"/>
    <w:rsid w:val="00AE77BC"/>
    <w:rsid w:val="00B1023C"/>
    <w:rsid w:val="00B63B14"/>
    <w:rsid w:val="00B64E3E"/>
    <w:rsid w:val="00B73008"/>
    <w:rsid w:val="00B75908"/>
    <w:rsid w:val="00B7619B"/>
    <w:rsid w:val="00B838E6"/>
    <w:rsid w:val="00B84ABB"/>
    <w:rsid w:val="00B85859"/>
    <w:rsid w:val="00BA1E21"/>
    <w:rsid w:val="00BC213B"/>
    <w:rsid w:val="00BE6152"/>
    <w:rsid w:val="00C1547A"/>
    <w:rsid w:val="00C5162C"/>
    <w:rsid w:val="00C60653"/>
    <w:rsid w:val="00C71397"/>
    <w:rsid w:val="00C764A4"/>
    <w:rsid w:val="00C824DD"/>
    <w:rsid w:val="00CA4BFE"/>
    <w:rsid w:val="00CB4A0E"/>
    <w:rsid w:val="00CC6C94"/>
    <w:rsid w:val="00D03850"/>
    <w:rsid w:val="00D03F3D"/>
    <w:rsid w:val="00D134D1"/>
    <w:rsid w:val="00D23CE3"/>
    <w:rsid w:val="00D32003"/>
    <w:rsid w:val="00D369B8"/>
    <w:rsid w:val="00D439E1"/>
    <w:rsid w:val="00D6561D"/>
    <w:rsid w:val="00D75E93"/>
    <w:rsid w:val="00D77311"/>
    <w:rsid w:val="00D87096"/>
    <w:rsid w:val="00DC0AE3"/>
    <w:rsid w:val="00DD3243"/>
    <w:rsid w:val="00DD69B0"/>
    <w:rsid w:val="00DF0835"/>
    <w:rsid w:val="00DF34D6"/>
    <w:rsid w:val="00E04E02"/>
    <w:rsid w:val="00E14521"/>
    <w:rsid w:val="00E15710"/>
    <w:rsid w:val="00E377B2"/>
    <w:rsid w:val="00E56506"/>
    <w:rsid w:val="00E8721D"/>
    <w:rsid w:val="00E87333"/>
    <w:rsid w:val="00EA0193"/>
    <w:rsid w:val="00EA1A03"/>
    <w:rsid w:val="00EA6848"/>
    <w:rsid w:val="00EA6CCF"/>
    <w:rsid w:val="00EB7B28"/>
    <w:rsid w:val="00EC4091"/>
    <w:rsid w:val="00EC7072"/>
    <w:rsid w:val="00F116B3"/>
    <w:rsid w:val="00F13D4F"/>
    <w:rsid w:val="00F144AF"/>
    <w:rsid w:val="00F22891"/>
    <w:rsid w:val="00F26825"/>
    <w:rsid w:val="00F4402E"/>
    <w:rsid w:val="00F44DEE"/>
    <w:rsid w:val="00F563F5"/>
    <w:rsid w:val="00F707E5"/>
    <w:rsid w:val="00F90F74"/>
    <w:rsid w:val="00F94BDC"/>
    <w:rsid w:val="00FB494A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FB"/>
  <w15:docId w15:val="{157D5619-D49D-4732-B1C2-8C9944E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F0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2E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0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E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881EBB"/>
  </w:style>
  <w:style w:type="character" w:customStyle="1" w:styleId="40">
    <w:name w:val="Заголовок 4 Знак"/>
    <w:basedOn w:val="a0"/>
    <w:link w:val="4"/>
    <w:uiPriority w:val="9"/>
    <w:semiHidden/>
    <w:rsid w:val="00A9751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44</cp:revision>
  <dcterms:created xsi:type="dcterms:W3CDTF">2022-10-04T07:57:00Z</dcterms:created>
  <dcterms:modified xsi:type="dcterms:W3CDTF">2026-02-13T11:07:00Z</dcterms:modified>
</cp:coreProperties>
</file>