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B3530" w14:textId="44D3FC41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032A">
        <w:rPr>
          <w:rFonts w:ascii="Arial" w:hAnsi="Arial" w:cs="Amiri Quran"/>
          <w:b/>
          <w:noProof/>
          <w:color w:val="404040" w:themeColor="text1" w:themeTint="BF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1381166B" wp14:editId="010DBD4E">
            <wp:simplePos x="0" y="0"/>
            <wp:positionH relativeFrom="margin">
              <wp:posOffset>-101600</wp:posOffset>
            </wp:positionH>
            <wp:positionV relativeFrom="paragraph">
              <wp:posOffset>0</wp:posOffset>
            </wp:positionV>
            <wp:extent cx="5940425" cy="712470"/>
            <wp:effectExtent l="0" t="0" r="3175" b="0"/>
            <wp:wrapThrough wrapText="bothSides">
              <wp:wrapPolygon edited="0">
                <wp:start x="0" y="0"/>
                <wp:lineTo x="0" y="20791"/>
                <wp:lineTo x="21542" y="20791"/>
                <wp:lineTo x="2154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1469A2" w14:textId="360936C4" w:rsid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EBA39C" w14:textId="77777777" w:rsidR="008B3C47" w:rsidRPr="0020032A" w:rsidRDefault="008B3C47" w:rsidP="008B3C47">
      <w:pPr>
        <w:pStyle w:val="a3"/>
        <w:spacing w:before="0" w:beforeAutospacing="0" w:after="0" w:afterAutospacing="0" w:line="240" w:lineRule="atLeast"/>
        <w:ind w:left="360"/>
        <w:jc w:val="center"/>
        <w:rPr>
          <w:color w:val="404040" w:themeColor="text1" w:themeTint="BF"/>
          <w:sz w:val="32"/>
          <w:szCs w:val="32"/>
        </w:rPr>
      </w:pPr>
      <w:r w:rsidRPr="0020032A">
        <w:rPr>
          <w:b/>
          <w:bCs/>
          <w:color w:val="404040" w:themeColor="text1" w:themeTint="BF"/>
          <w:sz w:val="32"/>
          <w:szCs w:val="32"/>
        </w:rPr>
        <w:t>Приглашаем Вас пройти курс повышения квалификации:</w:t>
      </w:r>
    </w:p>
    <w:p w14:paraId="14F07662" w14:textId="306A8E4C" w:rsidR="008B3C47" w:rsidRPr="0020032A" w:rsidRDefault="008B3C47" w:rsidP="008B3C47">
      <w:pPr>
        <w:spacing w:after="0" w:line="240" w:lineRule="auto"/>
        <w:jc w:val="center"/>
        <w:outlineLvl w:val="0"/>
        <w:rPr>
          <w:rFonts w:ascii="Times New Roman" w:hAnsi="Times New Roman"/>
          <w:b/>
          <w:color w:val="FF6600"/>
          <w:sz w:val="32"/>
          <w:szCs w:val="32"/>
        </w:rPr>
      </w:pPr>
      <w:r w:rsidRPr="0020032A">
        <w:rPr>
          <w:rFonts w:ascii="Times New Roman" w:hAnsi="Times New Roman"/>
          <w:b/>
          <w:color w:val="FF6600"/>
          <w:sz w:val="32"/>
          <w:szCs w:val="32"/>
        </w:rPr>
        <w:t xml:space="preserve">г. </w:t>
      </w:r>
      <w:r>
        <w:rPr>
          <w:rFonts w:ascii="Times New Roman" w:hAnsi="Times New Roman"/>
          <w:b/>
          <w:color w:val="FF6600"/>
          <w:sz w:val="32"/>
          <w:szCs w:val="32"/>
        </w:rPr>
        <w:t xml:space="preserve">Казань </w:t>
      </w:r>
      <w:r w:rsidR="004978B6">
        <w:rPr>
          <w:rFonts w:ascii="Times New Roman" w:hAnsi="Times New Roman"/>
          <w:b/>
          <w:color w:val="FF6600"/>
          <w:sz w:val="32"/>
          <w:szCs w:val="32"/>
        </w:rPr>
        <w:t>21-26 июня 2026</w:t>
      </w:r>
      <w:bookmarkStart w:id="0" w:name="_GoBack"/>
      <w:bookmarkEnd w:id="0"/>
      <w:r>
        <w:rPr>
          <w:rFonts w:ascii="Times New Roman" w:hAnsi="Times New Roman"/>
          <w:b/>
          <w:color w:val="FF6600"/>
          <w:sz w:val="32"/>
          <w:szCs w:val="32"/>
        </w:rPr>
        <w:t xml:space="preserve"> г. </w:t>
      </w:r>
    </w:p>
    <w:p w14:paraId="0A0946A0" w14:textId="77777777" w:rsidR="008B3C47" w:rsidRDefault="008B3C47" w:rsidP="008B3C47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F25865D" w14:textId="69D5CA24" w:rsidR="00D12AE6" w:rsidRPr="008B3C47" w:rsidRDefault="008B3C47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Тема: «</w:t>
      </w:r>
      <w:r w:rsidR="00D12AE6" w:rsidRPr="008B3C47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Заработная плата 2026: изменения в законодательстве, новые требования, практические вопросы, рекомендации</w:t>
      </w:r>
      <w:r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» </w:t>
      </w:r>
    </w:p>
    <w:p w14:paraId="2F657E21" w14:textId="7F1968FF" w:rsidR="00D12AE6" w:rsidRDefault="00D12AE6" w:rsidP="00D12AE6">
      <w:pPr>
        <w:spacing w:after="0" w:line="240" w:lineRule="auto"/>
        <w:ind w:firstLine="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27F6A7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>Документ– Удостоверение о повышении квалификации на 40 ак. часов</w:t>
      </w:r>
    </w:p>
    <w:p w14:paraId="702E275A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Стоимость без проживания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–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55 000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руб</w:t>
      </w:r>
      <w:r>
        <w:rPr>
          <w:rFonts w:ascii="Times New Roman" w:hAnsi="Times New Roman"/>
          <w:color w:val="404040" w:themeColor="text1" w:themeTint="BF"/>
          <w:sz w:val="24"/>
          <w:szCs w:val="24"/>
        </w:rPr>
        <w:t>./чел</w:t>
      </w:r>
    </w:p>
    <w:p w14:paraId="35A89ADC" w14:textId="77777777" w:rsidR="00590E0C" w:rsidRPr="003E3DE4" w:rsidRDefault="00590E0C" w:rsidP="00590E0C">
      <w:pPr>
        <w:spacing w:after="0"/>
        <w:ind w:firstLine="0"/>
        <w:outlineLvl w:val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2049CACE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>Стоимость участия:</w:t>
      </w: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 </w:t>
      </w:r>
    </w:p>
    <w:p w14:paraId="49F6155B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color w:val="404040" w:themeColor="text1" w:themeTint="BF"/>
          <w:sz w:val="24"/>
          <w:szCs w:val="24"/>
        </w:rPr>
        <w:t xml:space="preserve">(включено обучение, метод. материалы, питание завтрак/обед)  </w:t>
      </w:r>
    </w:p>
    <w:p w14:paraId="009E19B5" w14:textId="77777777" w:rsidR="00590E0C" w:rsidRPr="003E3DE4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Одноместный номер с человека – от 110 000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>/чел</w:t>
      </w: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                          </w:t>
      </w:r>
    </w:p>
    <w:p w14:paraId="4C4CD978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 w:rsidRPr="003E3DE4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Двухместный номер с человека – от 98 000 руб. </w:t>
      </w: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/чел </w:t>
      </w:r>
    </w:p>
    <w:p w14:paraId="3B3FAA96" w14:textId="77777777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14800134" w14:textId="7FC79AFC" w:rsid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  <w:r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Место проведения обучения и проживания: гостиница «Амакс Сафар-Отель», ул. Односторонка Гривки д.1 </w:t>
      </w:r>
    </w:p>
    <w:p w14:paraId="2791C111" w14:textId="1DA8650C" w:rsidR="00590E0C" w:rsidRPr="00590E0C" w:rsidRDefault="00590E0C" w:rsidP="00590E0C">
      <w:pPr>
        <w:spacing w:after="0"/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603935DB" w14:textId="15E19993" w:rsidR="00590E0C" w:rsidRPr="00590E0C" w:rsidRDefault="00590E0C" w:rsidP="00590E0C">
      <w:pPr>
        <w:ind w:firstLine="0"/>
        <w:contextualSpacing/>
        <w:jc w:val="center"/>
        <w:rPr>
          <w:rFonts w:ascii="Times New Roman" w:hAnsi="Times New Roman"/>
          <w:b/>
          <w:color w:val="404040" w:themeColor="text1" w:themeTint="BF"/>
        </w:rPr>
      </w:pPr>
      <w:r w:rsidRPr="00590E0C">
        <w:rPr>
          <w:rFonts w:ascii="Times New Roman" w:hAnsi="Times New Roman"/>
          <w:b/>
          <w:color w:val="404040" w:themeColor="text1" w:themeTint="BF"/>
        </w:rPr>
        <w:t xml:space="preserve">ПРОГРАММА: </w:t>
      </w:r>
    </w:p>
    <w:p w14:paraId="57BD3172" w14:textId="77777777" w:rsidR="00590E0C" w:rsidRPr="00590E0C" w:rsidRDefault="00590E0C" w:rsidP="00590E0C">
      <w:pPr>
        <w:spacing w:after="0" w:line="240" w:lineRule="auto"/>
        <w:ind w:firstLine="0"/>
        <w:outlineLvl w:val="0"/>
        <w:rPr>
          <w:rFonts w:ascii="Times New Roman" w:eastAsia="Times New Roman" w:hAnsi="Times New Roman"/>
          <w:b/>
          <w:color w:val="404040" w:themeColor="text1" w:themeTint="BF"/>
          <w:sz w:val="24"/>
          <w:szCs w:val="24"/>
          <w:lang w:eastAsia="ru-RU"/>
        </w:rPr>
      </w:pPr>
    </w:p>
    <w:p w14:paraId="63C3325D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1.Система оплаты труда: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определение и составные части заработной платы: МРОТ в 2026 году: размер, состав (доплаты, которые не могут входить в МРОТ). Размер оплаты труда при неполной продолжительности рабочего времени; постоянная (неотъемлемая) часть заработной платы; тарифные ставки и оклад: сходство и различие; доплаты и надбавки компенсационного и стимулирующего характера – постоянная часть заработной платы; переменная часть заработной платы – компенсационные доплаты за условия труда, отклоняющиеся от нормальных.</w:t>
      </w:r>
    </w:p>
    <w:p w14:paraId="526FFB1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2. Оплата работы вне графика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: сверхурочно и в выходные дни; повышенная оплата; «деньги или отдых» – условия замены и экономическая целесообразность.</w:t>
      </w:r>
    </w:p>
    <w:p w14:paraId="2D0185DE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добавления в статью 153 ТК РФ: денежная компенсация неиспользованных дней отдыха при увольнении: как считать, можно ли избежать. Ограничение срока использования «другого дня отдыха»;</w:t>
      </w:r>
    </w:p>
    <w:p w14:paraId="2E795291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-  размер и состав оплаты за сверхурочную работу (статья 152 ТК РФ). Особенности учета компенсационных и стимулирующих выплат (Постановление КС РФ от 27.06.2023 №35-П).</w:t>
      </w:r>
    </w:p>
    <w:p w14:paraId="7F61520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3. Переменная часть заработной платы – премии и поощрительные выплаты: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премирование работников; виды премий и их особенности, требования к системе премирования: новые положения статьи 135 ТК РФ и практика. Анализ судебных решений по спорам бюджетных учреждений с контролирующими органами.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Премии в свете Федерального закона от 07.06.2025 № 144-ФЗ, определение размера премий и оснований для депремирования: ограничение на полное лишение премий; лимит снижения премий; обязательное документальное основание; процедурные гарантии работника; примеры критериев для лишения премии работникам.</w:t>
      </w:r>
    </w:p>
    <w:p w14:paraId="5393B53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lastRenderedPageBreak/>
        <w:t>4. Правила предоставления отпусков за ненормированный рабочий день в федеральных учреждениях: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(Постановление Правительства от 10.02.2025 № 128): перечень должностей, имеющих право на дополнительный отпуск, продолжительность дополнительного отпуска; порядок предоставления усыновителям отпусков по уходу за ребенком в свете Постановления Правительства от 24.03.2025 № 351).</w:t>
      </w:r>
    </w:p>
    <w:p w14:paraId="649C22D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5.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Удержания из заработной платы: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виды и ограничения, выплаты, включаемые в базу для определения размера алиментов, периодичность удержания и перечисления алиментов, наличие нескольких исполнительных документов: определение размера и очерёдности отдельных удержаний, удержания по инициативе работодателя: запреты и ограничения; излишне начисленная и (или) выплаченная зарплата: кто виноват и что делать.</w:t>
      </w:r>
    </w:p>
    <w:p w14:paraId="54F1C230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6. </w:t>
      </w:r>
      <w:r w:rsidRPr="00590E0C">
        <w:rPr>
          <w:rFonts w:ascii="Times New Roman" w:hAnsi="Times New Roman"/>
          <w:b/>
          <w:bCs/>
          <w:color w:val="404040" w:themeColor="text1" w:themeTint="BF"/>
          <w:sz w:val="24"/>
          <w:szCs w:val="24"/>
        </w:rPr>
        <w:t>Нестандартные ситуации исчисления среднего заработка по правилам 2026 году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ПП РФ от 24.04.2025 №540 на практике; работник на военных сборах: средний заработок в эти дни; дополнительные выходные дни донорам: какие, сколько, в каком размере.</w:t>
      </w:r>
    </w:p>
    <w:p w14:paraId="59B37FBB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7. НДФЛ и страховые взносы в 2026 году: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обзор изменений в свете норм ТК РФ; районные коэффициенты и процентные надбавки: правила применения, порядок налогообложения. Состав «дополнительной» («льготной») налоговой базы. Особенности налогообложения доходов работников – граждан и резидентов стран ЕАЭС с 2026 года. Отчетность.</w:t>
      </w:r>
    </w:p>
    <w:p w14:paraId="56381009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8. Расчеты с работником при расторжении трудового договора: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полная и пропорциональная компенсация за неиспользованный отпуск при увольнении: официальные разъяснения и «расчетный метод», право работодателя на удержание отпускных за неотработанные дни отпуска; гарантии увольняемым работникам: выходное пособие и сохранение среднего заработка при прекращении трудового договора; компенсации уволенным по соглашению сторон.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Порядок расчета двухнедельного среднего заработка.</w:t>
      </w:r>
    </w:p>
    <w:p w14:paraId="3FCC00B6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9.</w:t>
      </w:r>
      <w:r w:rsidRPr="00590E0C">
        <w:rPr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 xml:space="preserve">Обзор других изменений: 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>новый порядок подтверждения основного вида деятельности в свете Постановления Правительства от 27.05.2025 № 728 и Федерального закона от 28.12.2024 № 529-ФЗ; порядок установления тарифа по страховым взносам на травматизм (Федеральный закон от 28.12.2024 № 529-ФЗ, постановление Правительства от 23.05.2025 № 717).</w:t>
      </w:r>
    </w:p>
    <w:p w14:paraId="10441EFC" w14:textId="77777777" w:rsidR="00D12AE6" w:rsidRPr="00590E0C" w:rsidRDefault="00D12AE6" w:rsidP="00D12AE6">
      <w:pPr>
        <w:rPr>
          <w:rFonts w:ascii="Times New Roman" w:hAnsi="Times New Roman"/>
          <w:color w:val="404040" w:themeColor="text1" w:themeTint="BF"/>
          <w:sz w:val="24"/>
          <w:szCs w:val="24"/>
        </w:rPr>
      </w:pP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10.</w:t>
      </w:r>
      <w:r w:rsidRPr="00590E0C">
        <w:rPr>
          <w:b/>
          <w:color w:val="404040" w:themeColor="text1" w:themeTint="BF"/>
        </w:rPr>
        <w:t xml:space="preserve"> </w:t>
      </w:r>
      <w:r w:rsidRPr="00590E0C">
        <w:rPr>
          <w:rFonts w:ascii="Times New Roman" w:hAnsi="Times New Roman"/>
          <w:b/>
          <w:color w:val="404040" w:themeColor="text1" w:themeTint="BF"/>
          <w:sz w:val="24"/>
          <w:szCs w:val="24"/>
        </w:rPr>
        <w:t>Ответственность за задержку заработной платы:</w:t>
      </w:r>
      <w:r w:rsidRPr="00590E0C">
        <w:rPr>
          <w:rFonts w:ascii="Times New Roman" w:hAnsi="Times New Roman"/>
          <w:color w:val="404040" w:themeColor="text1" w:themeTint="BF"/>
          <w:sz w:val="24"/>
          <w:szCs w:val="24"/>
        </w:rPr>
        <w:t xml:space="preserve"> когда работодатель обязан начислить проценты (денежную компенсацию) (статья 236 ТК РФ; Постановление КС РФ от 11.04.2023 № 16-П). Налогообложение компенсации за задержку выплат.</w:t>
      </w:r>
    </w:p>
    <w:p w14:paraId="0231C54A" w14:textId="0FA17DA6" w:rsidR="00040285" w:rsidRDefault="00040285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p w14:paraId="4E5E0ED4" w14:textId="77777777" w:rsidR="00590E0C" w:rsidRPr="00251E7B" w:rsidRDefault="00590E0C" w:rsidP="00590E0C">
      <w:pPr>
        <w:ind w:firstLine="0"/>
        <w:rPr>
          <w:rFonts w:ascii="Times New Roman" w:hAnsi="Times New Roman"/>
          <w:b/>
          <w:color w:val="FF6600"/>
          <w:sz w:val="24"/>
          <w:szCs w:val="24"/>
        </w:rPr>
      </w:pPr>
      <w:r w:rsidRPr="00251E7B">
        <w:rPr>
          <w:rFonts w:ascii="Times New Roman" w:hAnsi="Times New Roman"/>
          <w:b/>
          <w:color w:val="FF6600"/>
          <w:sz w:val="24"/>
          <w:szCs w:val="24"/>
        </w:rPr>
        <w:t>Программа семинара может быть добавлена другими вопросами, в случае принятия новых нормативно-правовых актов.</w:t>
      </w:r>
    </w:p>
    <w:p w14:paraId="415E0120" w14:textId="77777777" w:rsidR="00590E0C" w:rsidRPr="00590E0C" w:rsidRDefault="00590E0C" w:rsidP="00D12AE6">
      <w:pPr>
        <w:ind w:firstLine="0"/>
        <w:rPr>
          <w:rFonts w:ascii="Times New Roman" w:hAnsi="Times New Roman"/>
          <w:b/>
          <w:color w:val="404040" w:themeColor="text1" w:themeTint="BF"/>
          <w:sz w:val="24"/>
          <w:szCs w:val="24"/>
        </w:rPr>
      </w:pPr>
    </w:p>
    <w:sectPr w:rsidR="00590E0C" w:rsidRPr="00590E0C" w:rsidSect="008B3C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miri Quran">
    <w:altName w:val="Segoe Print"/>
    <w:charset w:val="B2"/>
    <w:family w:val="auto"/>
    <w:pitch w:val="default"/>
    <w:sig w:usb0="00000000" w:usb1="00000000" w:usb2="00000000" w:usb3="00000000" w:csb0="0000004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13"/>
    <w:rsid w:val="00040285"/>
    <w:rsid w:val="004978B6"/>
    <w:rsid w:val="00590E0C"/>
    <w:rsid w:val="00696C13"/>
    <w:rsid w:val="008B3C47"/>
    <w:rsid w:val="00A5325E"/>
    <w:rsid w:val="00D1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56D5C"/>
  <w15:chartTrackingRefBased/>
  <w15:docId w15:val="{3D741B36-6BA2-44C9-B3D0-65973A97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2A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3C4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590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28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F36D8-A88F-48C9-A1C8-70870FDF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8</cp:revision>
  <dcterms:created xsi:type="dcterms:W3CDTF">2026-01-15T08:36:00Z</dcterms:created>
  <dcterms:modified xsi:type="dcterms:W3CDTF">2026-03-27T10:53:00Z</dcterms:modified>
</cp:coreProperties>
</file>