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B3530" w14:textId="44D3FC41" w:rsidR="008B3C47" w:rsidRDefault="008B3C47" w:rsidP="00D12AE6">
      <w:pPr>
        <w:spacing w:after="0" w:line="240" w:lineRule="auto"/>
        <w:ind w:firstLine="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032A">
        <w:rPr>
          <w:rFonts w:ascii="Arial" w:hAnsi="Arial" w:cs="Amiri Quran"/>
          <w:b/>
          <w:noProof/>
          <w:color w:val="404040" w:themeColor="text1" w:themeTint="BF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1381166B" wp14:editId="010DBD4E">
            <wp:simplePos x="0" y="0"/>
            <wp:positionH relativeFrom="margin">
              <wp:posOffset>-101600</wp:posOffset>
            </wp:positionH>
            <wp:positionV relativeFrom="paragraph">
              <wp:posOffset>0</wp:posOffset>
            </wp:positionV>
            <wp:extent cx="5940425" cy="712470"/>
            <wp:effectExtent l="0" t="0" r="3175" b="0"/>
            <wp:wrapThrough wrapText="bothSides">
              <wp:wrapPolygon edited="0">
                <wp:start x="0" y="0"/>
                <wp:lineTo x="0" y="20791"/>
                <wp:lineTo x="21542" y="20791"/>
                <wp:lineTo x="2154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12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1469A2" w14:textId="360936C4" w:rsidR="008B3C47" w:rsidRDefault="008B3C47" w:rsidP="00D12AE6">
      <w:pPr>
        <w:spacing w:after="0" w:line="240" w:lineRule="auto"/>
        <w:ind w:firstLine="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2EBA39C" w14:textId="77777777" w:rsidR="008B3C47" w:rsidRPr="0020032A" w:rsidRDefault="008B3C47" w:rsidP="008B3C47">
      <w:pPr>
        <w:pStyle w:val="a3"/>
        <w:spacing w:before="0" w:beforeAutospacing="0" w:after="0" w:afterAutospacing="0" w:line="240" w:lineRule="atLeast"/>
        <w:ind w:left="360"/>
        <w:jc w:val="center"/>
        <w:rPr>
          <w:color w:val="404040" w:themeColor="text1" w:themeTint="BF"/>
          <w:sz w:val="32"/>
          <w:szCs w:val="32"/>
        </w:rPr>
      </w:pPr>
      <w:r w:rsidRPr="0020032A">
        <w:rPr>
          <w:b/>
          <w:bCs/>
          <w:color w:val="404040" w:themeColor="text1" w:themeTint="BF"/>
          <w:sz w:val="32"/>
          <w:szCs w:val="32"/>
        </w:rPr>
        <w:t>Приглашаем Вас пройти курс повышения квалификации:</w:t>
      </w:r>
    </w:p>
    <w:p w14:paraId="0A0946A0" w14:textId="77777777" w:rsidR="008B3C47" w:rsidRDefault="008B3C47" w:rsidP="008B3C47">
      <w:pPr>
        <w:spacing w:after="0" w:line="240" w:lineRule="auto"/>
        <w:ind w:firstLine="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F25865D" w14:textId="69D5CA24" w:rsidR="00D12AE6" w:rsidRPr="008B3C47" w:rsidRDefault="008B3C47" w:rsidP="00D12AE6">
      <w:pPr>
        <w:spacing w:after="0" w:line="240" w:lineRule="auto"/>
        <w:ind w:firstLine="0"/>
        <w:jc w:val="center"/>
        <w:outlineLvl w:val="0"/>
        <w:rPr>
          <w:rFonts w:ascii="Times New Roman" w:eastAsia="Times New Roman" w:hAnsi="Times New Roman"/>
          <w:b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70C0"/>
          <w:sz w:val="28"/>
          <w:szCs w:val="28"/>
          <w:lang w:eastAsia="ru-RU"/>
        </w:rPr>
        <w:t>Тема: «</w:t>
      </w:r>
      <w:r w:rsidR="00D12AE6" w:rsidRPr="008B3C47">
        <w:rPr>
          <w:rFonts w:ascii="Times New Roman" w:eastAsia="Times New Roman" w:hAnsi="Times New Roman"/>
          <w:b/>
          <w:color w:val="0070C0"/>
          <w:sz w:val="28"/>
          <w:szCs w:val="28"/>
          <w:lang w:eastAsia="ru-RU"/>
        </w:rPr>
        <w:t>Заработная плата 2026: изменения в законодательстве, новые требования, практические вопросы, рекомендации</w:t>
      </w:r>
      <w:r>
        <w:rPr>
          <w:rFonts w:ascii="Times New Roman" w:eastAsia="Times New Roman" w:hAnsi="Times New Roman"/>
          <w:b/>
          <w:color w:val="0070C0"/>
          <w:sz w:val="28"/>
          <w:szCs w:val="28"/>
          <w:lang w:eastAsia="ru-RU"/>
        </w:rPr>
        <w:t xml:space="preserve">» </w:t>
      </w:r>
    </w:p>
    <w:p w14:paraId="2F657E21" w14:textId="7F1968FF" w:rsidR="00D12AE6" w:rsidRDefault="00D12AE6" w:rsidP="00D12AE6">
      <w:pPr>
        <w:spacing w:after="0" w:line="240" w:lineRule="auto"/>
        <w:ind w:firstLine="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827F6A7" w14:textId="77777777" w:rsidR="00590E0C" w:rsidRPr="003E3DE4" w:rsidRDefault="00590E0C" w:rsidP="00590E0C">
      <w:pPr>
        <w:spacing w:after="0"/>
        <w:ind w:firstLine="0"/>
        <w:outlineLvl w:val="0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3E3DE4">
        <w:rPr>
          <w:rFonts w:ascii="Times New Roman" w:hAnsi="Times New Roman"/>
          <w:color w:val="404040" w:themeColor="text1" w:themeTint="BF"/>
          <w:sz w:val="24"/>
          <w:szCs w:val="24"/>
        </w:rPr>
        <w:t xml:space="preserve">Документ– Удостоверение о повышении квалификации на 40 </w:t>
      </w:r>
      <w:proofErr w:type="spellStart"/>
      <w:r w:rsidRPr="003E3DE4">
        <w:rPr>
          <w:rFonts w:ascii="Times New Roman" w:hAnsi="Times New Roman"/>
          <w:color w:val="404040" w:themeColor="text1" w:themeTint="BF"/>
          <w:sz w:val="24"/>
          <w:szCs w:val="24"/>
        </w:rPr>
        <w:t>ак</w:t>
      </w:r>
      <w:proofErr w:type="spellEnd"/>
      <w:r w:rsidRPr="003E3DE4">
        <w:rPr>
          <w:rFonts w:ascii="Times New Roman" w:hAnsi="Times New Roman"/>
          <w:color w:val="404040" w:themeColor="text1" w:themeTint="BF"/>
          <w:sz w:val="24"/>
          <w:szCs w:val="24"/>
        </w:rPr>
        <w:t>. часов</w:t>
      </w:r>
    </w:p>
    <w:p w14:paraId="702E275A" w14:textId="77777777" w:rsidR="00590E0C" w:rsidRPr="003E3DE4" w:rsidRDefault="00590E0C" w:rsidP="00590E0C">
      <w:pPr>
        <w:spacing w:after="0"/>
        <w:ind w:firstLine="0"/>
        <w:outlineLvl w:val="0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3E3DE4">
        <w:rPr>
          <w:rFonts w:ascii="Times New Roman" w:hAnsi="Times New Roman"/>
          <w:color w:val="404040" w:themeColor="text1" w:themeTint="BF"/>
          <w:sz w:val="24"/>
          <w:szCs w:val="24"/>
        </w:rPr>
        <w:t xml:space="preserve">Стоимость без проживания </w:t>
      </w:r>
      <w:r>
        <w:rPr>
          <w:rFonts w:ascii="Times New Roman" w:hAnsi="Times New Roman"/>
          <w:color w:val="404040" w:themeColor="text1" w:themeTint="BF"/>
          <w:sz w:val="24"/>
          <w:szCs w:val="24"/>
        </w:rPr>
        <w:t>–</w:t>
      </w:r>
      <w:r w:rsidRPr="003E3DE4">
        <w:rPr>
          <w:rFonts w:ascii="Times New Roman" w:hAnsi="Times New Roman"/>
          <w:color w:val="404040" w:themeColor="text1" w:themeTint="BF"/>
          <w:sz w:val="24"/>
          <w:szCs w:val="24"/>
        </w:rPr>
        <w:t xml:space="preserve"> </w:t>
      </w:r>
      <w:r>
        <w:rPr>
          <w:rFonts w:ascii="Times New Roman" w:hAnsi="Times New Roman"/>
          <w:color w:val="404040" w:themeColor="text1" w:themeTint="BF"/>
          <w:sz w:val="24"/>
          <w:szCs w:val="24"/>
        </w:rPr>
        <w:t>55 000</w:t>
      </w:r>
      <w:r w:rsidRPr="003E3DE4">
        <w:rPr>
          <w:rFonts w:ascii="Times New Roman" w:hAnsi="Times New Roman"/>
          <w:color w:val="404040" w:themeColor="text1" w:themeTint="BF"/>
          <w:sz w:val="24"/>
          <w:szCs w:val="24"/>
        </w:rPr>
        <w:t xml:space="preserve"> руб</w:t>
      </w:r>
      <w:r>
        <w:rPr>
          <w:rFonts w:ascii="Times New Roman" w:hAnsi="Times New Roman"/>
          <w:color w:val="404040" w:themeColor="text1" w:themeTint="BF"/>
          <w:sz w:val="24"/>
          <w:szCs w:val="24"/>
        </w:rPr>
        <w:t>./чел</w:t>
      </w:r>
    </w:p>
    <w:p w14:paraId="35A89ADC" w14:textId="77777777" w:rsidR="00590E0C" w:rsidRPr="003E3DE4" w:rsidRDefault="00590E0C" w:rsidP="00590E0C">
      <w:pPr>
        <w:spacing w:after="0"/>
        <w:ind w:firstLine="0"/>
        <w:outlineLvl w:val="0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</w:p>
    <w:p w14:paraId="2049CACE" w14:textId="77777777" w:rsidR="00590E0C" w:rsidRPr="003E3DE4" w:rsidRDefault="00590E0C" w:rsidP="00590E0C">
      <w:pPr>
        <w:spacing w:after="0"/>
        <w:ind w:firstLine="0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3E3DE4">
        <w:rPr>
          <w:rFonts w:ascii="Times New Roman" w:hAnsi="Times New Roman"/>
          <w:b/>
          <w:color w:val="404040" w:themeColor="text1" w:themeTint="BF"/>
          <w:sz w:val="24"/>
          <w:szCs w:val="24"/>
        </w:rPr>
        <w:t>Стоимость участия:</w:t>
      </w:r>
      <w:r w:rsidRPr="003E3DE4">
        <w:rPr>
          <w:rFonts w:ascii="Times New Roman" w:hAnsi="Times New Roman"/>
          <w:color w:val="404040" w:themeColor="text1" w:themeTint="BF"/>
          <w:sz w:val="24"/>
          <w:szCs w:val="24"/>
        </w:rPr>
        <w:t xml:space="preserve"> </w:t>
      </w:r>
    </w:p>
    <w:p w14:paraId="49F6155B" w14:textId="77777777" w:rsidR="00590E0C" w:rsidRPr="003E3DE4" w:rsidRDefault="00590E0C" w:rsidP="00590E0C">
      <w:pPr>
        <w:spacing w:after="0"/>
        <w:ind w:firstLine="0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  <w:r w:rsidRPr="003E3DE4">
        <w:rPr>
          <w:rFonts w:ascii="Times New Roman" w:hAnsi="Times New Roman"/>
          <w:color w:val="404040" w:themeColor="text1" w:themeTint="BF"/>
          <w:sz w:val="24"/>
          <w:szCs w:val="24"/>
        </w:rPr>
        <w:t xml:space="preserve">(включено обучение, метод. материалы, питание завтрак/обед)  </w:t>
      </w:r>
    </w:p>
    <w:p w14:paraId="009E19B5" w14:textId="77777777" w:rsidR="00590E0C" w:rsidRPr="003E3DE4" w:rsidRDefault="00590E0C" w:rsidP="00590E0C">
      <w:pPr>
        <w:spacing w:after="0"/>
        <w:ind w:firstLine="0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  <w:r w:rsidRPr="003E3DE4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Одноместный номер с человека – от 110 000 руб. </w:t>
      </w:r>
      <w:r>
        <w:rPr>
          <w:rFonts w:ascii="Times New Roman" w:hAnsi="Times New Roman"/>
          <w:b/>
          <w:color w:val="404040" w:themeColor="text1" w:themeTint="BF"/>
          <w:sz w:val="24"/>
          <w:szCs w:val="24"/>
        </w:rPr>
        <w:t>/чел</w:t>
      </w:r>
      <w:r w:rsidRPr="003E3DE4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                          </w:t>
      </w:r>
    </w:p>
    <w:p w14:paraId="4C4CD978" w14:textId="77777777" w:rsidR="00590E0C" w:rsidRDefault="00590E0C" w:rsidP="00590E0C">
      <w:pPr>
        <w:spacing w:after="0"/>
        <w:ind w:firstLine="0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  <w:r w:rsidRPr="003E3DE4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Двухместный номер с человека – от 98 000 руб. </w:t>
      </w:r>
      <w:r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/чел </w:t>
      </w:r>
    </w:p>
    <w:p w14:paraId="3B3FAA96" w14:textId="77777777" w:rsidR="00590E0C" w:rsidRDefault="00590E0C" w:rsidP="00590E0C">
      <w:pPr>
        <w:spacing w:after="0"/>
        <w:ind w:firstLine="0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</w:p>
    <w:p w14:paraId="2791C111" w14:textId="1DA8650C" w:rsidR="00590E0C" w:rsidRPr="00590E0C" w:rsidRDefault="00590E0C" w:rsidP="00590E0C">
      <w:pPr>
        <w:spacing w:after="0"/>
        <w:ind w:firstLine="0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  <w:bookmarkStart w:id="0" w:name="_GoBack"/>
      <w:bookmarkEnd w:id="0"/>
    </w:p>
    <w:p w14:paraId="603935DB" w14:textId="15E19993" w:rsidR="00590E0C" w:rsidRPr="00590E0C" w:rsidRDefault="00590E0C" w:rsidP="00590E0C">
      <w:pPr>
        <w:ind w:firstLine="0"/>
        <w:contextualSpacing/>
        <w:jc w:val="center"/>
        <w:rPr>
          <w:rFonts w:ascii="Times New Roman" w:hAnsi="Times New Roman"/>
          <w:b/>
          <w:color w:val="404040" w:themeColor="text1" w:themeTint="BF"/>
        </w:rPr>
      </w:pPr>
      <w:r w:rsidRPr="00590E0C">
        <w:rPr>
          <w:rFonts w:ascii="Times New Roman" w:hAnsi="Times New Roman"/>
          <w:b/>
          <w:color w:val="404040" w:themeColor="text1" w:themeTint="BF"/>
        </w:rPr>
        <w:t xml:space="preserve">ПРОГРАММА: </w:t>
      </w:r>
    </w:p>
    <w:p w14:paraId="57BD3172" w14:textId="77777777" w:rsidR="00590E0C" w:rsidRPr="00590E0C" w:rsidRDefault="00590E0C" w:rsidP="00590E0C">
      <w:pPr>
        <w:spacing w:after="0" w:line="240" w:lineRule="auto"/>
        <w:ind w:firstLine="0"/>
        <w:outlineLvl w:val="0"/>
        <w:rPr>
          <w:rFonts w:ascii="Times New Roman" w:eastAsia="Times New Roman" w:hAnsi="Times New Roman"/>
          <w:b/>
          <w:color w:val="404040" w:themeColor="text1" w:themeTint="BF"/>
          <w:sz w:val="24"/>
          <w:szCs w:val="24"/>
          <w:lang w:eastAsia="ru-RU"/>
        </w:rPr>
      </w:pPr>
    </w:p>
    <w:p w14:paraId="63C3325D" w14:textId="77777777" w:rsidR="00D12AE6" w:rsidRPr="00590E0C" w:rsidRDefault="00D12AE6" w:rsidP="00D12AE6">
      <w:pPr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590E0C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1.Система оплаты труда: </w:t>
      </w:r>
      <w:r w:rsidRPr="00590E0C">
        <w:rPr>
          <w:rFonts w:ascii="Times New Roman" w:hAnsi="Times New Roman"/>
          <w:color w:val="404040" w:themeColor="text1" w:themeTint="BF"/>
          <w:sz w:val="24"/>
          <w:szCs w:val="24"/>
        </w:rPr>
        <w:t>определение и составные части заработной платы: МРОТ в 2026 году: размер, состав (доплаты, которые не могут входить в МРОТ). Размер оплаты труда при неполной продолжительности рабочего времени; постоянная (неотъемлемая) часть заработной платы; тарифные ставки и оклад: сходство и различие; доплаты и надбавки компенсационного и стимулирующего характера – постоянная часть заработной платы; переменная часть заработной платы – компенсационные доплаты за условия труда, отклоняющиеся от нормальных.</w:t>
      </w:r>
    </w:p>
    <w:p w14:paraId="526FFB1E" w14:textId="77777777" w:rsidR="00D12AE6" w:rsidRPr="00590E0C" w:rsidRDefault="00D12AE6" w:rsidP="00D12AE6">
      <w:pPr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590E0C">
        <w:rPr>
          <w:rFonts w:ascii="Times New Roman" w:hAnsi="Times New Roman"/>
          <w:b/>
          <w:color w:val="404040" w:themeColor="text1" w:themeTint="BF"/>
          <w:sz w:val="24"/>
          <w:szCs w:val="24"/>
        </w:rPr>
        <w:t>2. Оплата работы вне графика</w:t>
      </w:r>
      <w:r w:rsidRPr="00590E0C">
        <w:rPr>
          <w:rFonts w:ascii="Times New Roman" w:hAnsi="Times New Roman"/>
          <w:color w:val="404040" w:themeColor="text1" w:themeTint="BF"/>
          <w:sz w:val="24"/>
          <w:szCs w:val="24"/>
        </w:rPr>
        <w:t>: сверхурочно и в выходные дни; повышенная оплата; «деньги или отдых» – условия замены и экономическая целесообразность.</w:t>
      </w:r>
    </w:p>
    <w:p w14:paraId="2D0185DE" w14:textId="77777777" w:rsidR="00D12AE6" w:rsidRPr="00590E0C" w:rsidRDefault="00D12AE6" w:rsidP="00D12AE6">
      <w:pPr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590E0C">
        <w:rPr>
          <w:rFonts w:ascii="Times New Roman" w:hAnsi="Times New Roman"/>
          <w:color w:val="404040" w:themeColor="text1" w:themeTint="BF"/>
          <w:sz w:val="24"/>
          <w:szCs w:val="24"/>
        </w:rPr>
        <w:t>-  добавления в статью 153 ТК РФ: денежная компенсация неиспользованных дней отдыха при увольнении: как считать, можно ли избежать. Ограничение срока использования «другого дня отдыха»;</w:t>
      </w:r>
    </w:p>
    <w:p w14:paraId="2E795291" w14:textId="77777777" w:rsidR="00D12AE6" w:rsidRPr="00590E0C" w:rsidRDefault="00D12AE6" w:rsidP="00D12AE6">
      <w:pPr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590E0C">
        <w:rPr>
          <w:rFonts w:ascii="Times New Roman" w:hAnsi="Times New Roman"/>
          <w:color w:val="404040" w:themeColor="text1" w:themeTint="BF"/>
          <w:sz w:val="24"/>
          <w:szCs w:val="24"/>
        </w:rPr>
        <w:t>-  размер и состав оплаты за сверхурочную работу (статья 152 ТК РФ). Особенности учета компенсационных и стимулирующих выплат (Постановление КС РФ от 27.06.2023 №35-П).</w:t>
      </w:r>
    </w:p>
    <w:p w14:paraId="7F615200" w14:textId="77777777" w:rsidR="00D12AE6" w:rsidRPr="00590E0C" w:rsidRDefault="00D12AE6" w:rsidP="00D12AE6">
      <w:pPr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590E0C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3. Переменная часть заработной платы – премии и поощрительные выплаты: </w:t>
      </w:r>
      <w:r w:rsidRPr="00590E0C">
        <w:rPr>
          <w:rFonts w:ascii="Times New Roman" w:hAnsi="Times New Roman"/>
          <w:color w:val="404040" w:themeColor="text1" w:themeTint="BF"/>
          <w:sz w:val="24"/>
          <w:szCs w:val="24"/>
        </w:rPr>
        <w:t>премирование работников; виды премий и их особенности, требования к системе премирования: новые положения статьи 135 ТК РФ и практика. Анализ судебных решений по спорам бюджетных учреждений с контролирующими органами.</w:t>
      </w:r>
      <w:r w:rsidRPr="00590E0C">
        <w:rPr>
          <w:color w:val="404040" w:themeColor="text1" w:themeTint="BF"/>
        </w:rPr>
        <w:t xml:space="preserve"> </w:t>
      </w:r>
      <w:r w:rsidRPr="00590E0C">
        <w:rPr>
          <w:rFonts w:ascii="Times New Roman" w:hAnsi="Times New Roman"/>
          <w:color w:val="404040" w:themeColor="text1" w:themeTint="BF"/>
          <w:sz w:val="24"/>
          <w:szCs w:val="24"/>
        </w:rPr>
        <w:t>Премии в свете Федерального закона от 07.06.2025 № 144-ФЗ, определение размера премий и оснований для депремирования: ограничение на полное лишение премий; лимит снижения премий; обязательное документальное основание; процедурные гарантии работника; примеры критериев для лишения премии работникам.</w:t>
      </w:r>
    </w:p>
    <w:p w14:paraId="5393B539" w14:textId="77777777" w:rsidR="00D12AE6" w:rsidRPr="00590E0C" w:rsidRDefault="00D12AE6" w:rsidP="00D12AE6">
      <w:pPr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590E0C">
        <w:rPr>
          <w:rFonts w:ascii="Times New Roman" w:hAnsi="Times New Roman"/>
          <w:b/>
          <w:color w:val="404040" w:themeColor="text1" w:themeTint="BF"/>
          <w:sz w:val="24"/>
          <w:szCs w:val="24"/>
        </w:rPr>
        <w:t>4. Правила предоставления отпусков за ненормированный рабочий день в федеральных учреждениях:</w:t>
      </w:r>
      <w:r w:rsidRPr="00590E0C">
        <w:rPr>
          <w:rFonts w:ascii="Times New Roman" w:hAnsi="Times New Roman"/>
          <w:color w:val="404040" w:themeColor="text1" w:themeTint="BF"/>
          <w:sz w:val="24"/>
          <w:szCs w:val="24"/>
        </w:rPr>
        <w:t xml:space="preserve"> (Постановление Правительства от 10.02.2025 № 128): перечень должностей, имеющих право на дополнительный отпуск, продолжительность </w:t>
      </w:r>
      <w:r w:rsidRPr="00590E0C">
        <w:rPr>
          <w:rFonts w:ascii="Times New Roman" w:hAnsi="Times New Roman"/>
          <w:color w:val="404040" w:themeColor="text1" w:themeTint="BF"/>
          <w:sz w:val="24"/>
          <w:szCs w:val="24"/>
        </w:rPr>
        <w:lastRenderedPageBreak/>
        <w:t>дополнительного отпуска; порядок предоставления усыновителям отпусков по уходу за ребенком в свете Постановления Правительства от 24.03.2025 № 351).</w:t>
      </w:r>
    </w:p>
    <w:p w14:paraId="649C22D9" w14:textId="77777777" w:rsidR="00D12AE6" w:rsidRPr="00590E0C" w:rsidRDefault="00D12AE6" w:rsidP="00D12AE6">
      <w:pPr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590E0C">
        <w:rPr>
          <w:rFonts w:ascii="Times New Roman" w:hAnsi="Times New Roman"/>
          <w:b/>
          <w:color w:val="404040" w:themeColor="text1" w:themeTint="BF"/>
          <w:sz w:val="24"/>
          <w:szCs w:val="24"/>
        </w:rPr>
        <w:t>5.</w:t>
      </w:r>
      <w:r w:rsidRPr="00590E0C">
        <w:rPr>
          <w:color w:val="404040" w:themeColor="text1" w:themeTint="BF"/>
        </w:rPr>
        <w:t xml:space="preserve"> </w:t>
      </w:r>
      <w:r w:rsidRPr="00590E0C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Удержания из заработной платы: </w:t>
      </w:r>
      <w:r w:rsidRPr="00590E0C">
        <w:rPr>
          <w:rFonts w:ascii="Times New Roman" w:hAnsi="Times New Roman"/>
          <w:color w:val="404040" w:themeColor="text1" w:themeTint="BF"/>
          <w:sz w:val="24"/>
          <w:szCs w:val="24"/>
        </w:rPr>
        <w:t>виды и ограничения, выплаты, включаемые в базу для определения размера алиментов, периодичность удержания и перечисления алиментов, наличие нескольких исполнительных документов: определение размера и очерёдности отдельных удержаний, удержания по инициативе работодателя: запреты и ограничения; излишне начисленная и (или) выплаченная зарплата: кто виноват и что делать.</w:t>
      </w:r>
    </w:p>
    <w:p w14:paraId="54F1C230" w14:textId="77777777" w:rsidR="00D12AE6" w:rsidRPr="00590E0C" w:rsidRDefault="00D12AE6" w:rsidP="00D12AE6">
      <w:pPr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590E0C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6. </w:t>
      </w:r>
      <w:r w:rsidRPr="00590E0C">
        <w:rPr>
          <w:rFonts w:ascii="Times New Roman" w:hAnsi="Times New Roman"/>
          <w:b/>
          <w:bCs/>
          <w:color w:val="404040" w:themeColor="text1" w:themeTint="BF"/>
          <w:sz w:val="24"/>
          <w:szCs w:val="24"/>
        </w:rPr>
        <w:t>Нестандартные ситуации исчисления среднего заработка по правилам 2026 году</w:t>
      </w:r>
      <w:r w:rsidRPr="00590E0C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: </w:t>
      </w:r>
      <w:r w:rsidRPr="00590E0C">
        <w:rPr>
          <w:rFonts w:ascii="Times New Roman" w:hAnsi="Times New Roman"/>
          <w:color w:val="404040" w:themeColor="text1" w:themeTint="BF"/>
          <w:sz w:val="24"/>
          <w:szCs w:val="24"/>
        </w:rPr>
        <w:t>ПП РФ от 24.04.2025 №540 на практике; работник на военных сборах: средний заработок в эти дни; дополнительные выходные дни донорам: какие, сколько, в каком размере.</w:t>
      </w:r>
    </w:p>
    <w:p w14:paraId="59B37FBB" w14:textId="77777777" w:rsidR="00D12AE6" w:rsidRPr="00590E0C" w:rsidRDefault="00D12AE6" w:rsidP="00D12AE6">
      <w:pPr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590E0C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7. НДФЛ и страховые взносы в 2026 году: </w:t>
      </w:r>
      <w:r w:rsidRPr="00590E0C">
        <w:rPr>
          <w:rFonts w:ascii="Times New Roman" w:hAnsi="Times New Roman"/>
          <w:color w:val="404040" w:themeColor="text1" w:themeTint="BF"/>
          <w:sz w:val="24"/>
          <w:szCs w:val="24"/>
        </w:rPr>
        <w:t>обзор изменений в свете норм ТК РФ; районные коэффициенты и процентные надбавки: правила применения, порядок налогообложения. Состав «дополнительной» («льготной») налоговой базы. Особенности налогообложения доходов работников – граждан и резидентов стран ЕАЭС с 2026 года. Отчетность.</w:t>
      </w:r>
    </w:p>
    <w:p w14:paraId="56381009" w14:textId="77777777" w:rsidR="00D12AE6" w:rsidRPr="00590E0C" w:rsidRDefault="00D12AE6" w:rsidP="00D12AE6">
      <w:pPr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590E0C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8. Расчеты с работником при расторжении трудового договора: </w:t>
      </w:r>
      <w:r w:rsidRPr="00590E0C">
        <w:rPr>
          <w:rFonts w:ascii="Times New Roman" w:hAnsi="Times New Roman"/>
          <w:color w:val="404040" w:themeColor="text1" w:themeTint="BF"/>
          <w:sz w:val="24"/>
          <w:szCs w:val="24"/>
        </w:rPr>
        <w:t>полная и пропорциональная компенсация за неиспользованный отпуск при увольнении: официальные разъяснения и «расчетный метод», право работодателя на удержание отпускных за неотработанные дни отпуска; гарантии увольняемым работникам: выходное пособие и сохранение среднего заработка при прекращении трудового договора; компенсации уволенным по соглашению сторон.</w:t>
      </w:r>
      <w:r w:rsidRPr="00590E0C">
        <w:rPr>
          <w:color w:val="404040" w:themeColor="text1" w:themeTint="BF"/>
        </w:rPr>
        <w:t xml:space="preserve"> </w:t>
      </w:r>
      <w:r w:rsidRPr="00590E0C">
        <w:rPr>
          <w:rFonts w:ascii="Times New Roman" w:hAnsi="Times New Roman"/>
          <w:color w:val="404040" w:themeColor="text1" w:themeTint="BF"/>
          <w:sz w:val="24"/>
          <w:szCs w:val="24"/>
        </w:rPr>
        <w:t>Порядок расчета двухнедельного среднего заработка.</w:t>
      </w:r>
    </w:p>
    <w:p w14:paraId="3FCC00B6" w14:textId="77777777" w:rsidR="00D12AE6" w:rsidRPr="00590E0C" w:rsidRDefault="00D12AE6" w:rsidP="00D12AE6">
      <w:pPr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590E0C">
        <w:rPr>
          <w:rFonts w:ascii="Times New Roman" w:hAnsi="Times New Roman"/>
          <w:b/>
          <w:color w:val="404040" w:themeColor="text1" w:themeTint="BF"/>
          <w:sz w:val="24"/>
          <w:szCs w:val="24"/>
        </w:rPr>
        <w:t>9.</w:t>
      </w:r>
      <w:r w:rsidRPr="00590E0C">
        <w:rPr>
          <w:color w:val="404040" w:themeColor="text1" w:themeTint="BF"/>
        </w:rPr>
        <w:t xml:space="preserve"> </w:t>
      </w:r>
      <w:r w:rsidRPr="00590E0C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Обзор других изменений: </w:t>
      </w:r>
      <w:r w:rsidRPr="00590E0C">
        <w:rPr>
          <w:rFonts w:ascii="Times New Roman" w:hAnsi="Times New Roman"/>
          <w:color w:val="404040" w:themeColor="text1" w:themeTint="BF"/>
          <w:sz w:val="24"/>
          <w:szCs w:val="24"/>
        </w:rPr>
        <w:t>новый порядок подтверждения основного вида деятельности в свете Постановления Правительства от 27.05.2025 № 728 и Федерального закона от 28.12.2024 № 529-ФЗ; порядок установления тарифа по страховым взносам на травматизм (Федеральный закон от 28.12.2024 № 529-ФЗ, постановление Правительства от 23.05.2025 № 717).</w:t>
      </w:r>
    </w:p>
    <w:p w14:paraId="10441EFC" w14:textId="77777777" w:rsidR="00D12AE6" w:rsidRPr="00590E0C" w:rsidRDefault="00D12AE6" w:rsidP="00D12AE6">
      <w:pPr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590E0C">
        <w:rPr>
          <w:rFonts w:ascii="Times New Roman" w:hAnsi="Times New Roman"/>
          <w:b/>
          <w:color w:val="404040" w:themeColor="text1" w:themeTint="BF"/>
          <w:sz w:val="24"/>
          <w:szCs w:val="24"/>
        </w:rPr>
        <w:t>10.</w:t>
      </w:r>
      <w:r w:rsidRPr="00590E0C">
        <w:rPr>
          <w:b/>
          <w:color w:val="404040" w:themeColor="text1" w:themeTint="BF"/>
        </w:rPr>
        <w:t xml:space="preserve"> </w:t>
      </w:r>
      <w:r w:rsidRPr="00590E0C">
        <w:rPr>
          <w:rFonts w:ascii="Times New Roman" w:hAnsi="Times New Roman"/>
          <w:b/>
          <w:color w:val="404040" w:themeColor="text1" w:themeTint="BF"/>
          <w:sz w:val="24"/>
          <w:szCs w:val="24"/>
        </w:rPr>
        <w:t>Ответственность за задержку заработной платы:</w:t>
      </w:r>
      <w:r w:rsidRPr="00590E0C">
        <w:rPr>
          <w:rFonts w:ascii="Times New Roman" w:hAnsi="Times New Roman"/>
          <w:color w:val="404040" w:themeColor="text1" w:themeTint="BF"/>
          <w:sz w:val="24"/>
          <w:szCs w:val="24"/>
        </w:rPr>
        <w:t xml:space="preserve"> когда работодатель обязан начислить проценты (денежную компенсацию) (статья 236 ТК РФ; Постановление КС РФ от 11.04.2023 № 16-П). Налогообложение компенсации за задержку выплат.</w:t>
      </w:r>
    </w:p>
    <w:p w14:paraId="0231C54A" w14:textId="0FA17DA6" w:rsidR="00040285" w:rsidRDefault="00040285" w:rsidP="00D12AE6">
      <w:pPr>
        <w:ind w:firstLine="0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</w:p>
    <w:p w14:paraId="4E5E0ED4" w14:textId="77777777" w:rsidR="00590E0C" w:rsidRPr="00251E7B" w:rsidRDefault="00590E0C" w:rsidP="00590E0C">
      <w:pPr>
        <w:ind w:firstLine="0"/>
        <w:rPr>
          <w:rFonts w:ascii="Times New Roman" w:hAnsi="Times New Roman"/>
          <w:b/>
          <w:color w:val="FF6600"/>
          <w:sz w:val="24"/>
          <w:szCs w:val="24"/>
        </w:rPr>
      </w:pPr>
      <w:r w:rsidRPr="00251E7B">
        <w:rPr>
          <w:rFonts w:ascii="Times New Roman" w:hAnsi="Times New Roman"/>
          <w:b/>
          <w:color w:val="FF6600"/>
          <w:sz w:val="24"/>
          <w:szCs w:val="24"/>
        </w:rPr>
        <w:t>Программа семинара может быть добавлена другими вопросами, в случае принятия новых нормативно-правовых актов.</w:t>
      </w:r>
    </w:p>
    <w:p w14:paraId="415E0120" w14:textId="77777777" w:rsidR="00590E0C" w:rsidRPr="00590E0C" w:rsidRDefault="00590E0C" w:rsidP="00D12AE6">
      <w:pPr>
        <w:ind w:firstLine="0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</w:p>
    <w:sectPr w:rsidR="00590E0C" w:rsidRPr="00590E0C" w:rsidSect="008B3C4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miri Quran">
    <w:altName w:val="Segoe Print"/>
    <w:charset w:val="B2"/>
    <w:family w:val="auto"/>
    <w:pitch w:val="default"/>
    <w:sig w:usb0="00000000" w:usb1="00000000" w:usb2="00000000" w:usb3="00000000" w:csb0="0000004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C13"/>
    <w:rsid w:val="00040285"/>
    <w:rsid w:val="00207A64"/>
    <w:rsid w:val="00590E0C"/>
    <w:rsid w:val="00696C13"/>
    <w:rsid w:val="008B3C47"/>
    <w:rsid w:val="00A5325E"/>
    <w:rsid w:val="00D1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56D5C"/>
  <w15:chartTrackingRefBased/>
  <w15:docId w15:val="{3D741B36-6BA2-44C9-B3D0-65973A97F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12AE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3C47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590E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28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534A7-5BED-4AEF-9732-5A9841B4A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7</cp:revision>
  <dcterms:created xsi:type="dcterms:W3CDTF">2026-01-15T08:36:00Z</dcterms:created>
  <dcterms:modified xsi:type="dcterms:W3CDTF">2026-02-13T11:02:00Z</dcterms:modified>
</cp:coreProperties>
</file>