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45F01" w14:textId="77777777" w:rsidR="00D134D1" w:rsidRPr="0020032A" w:rsidRDefault="00D134D1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404040" w:themeColor="text1" w:themeTint="BF"/>
          <w:sz w:val="18"/>
          <w:szCs w:val="18"/>
        </w:rPr>
      </w:pPr>
    </w:p>
    <w:p w14:paraId="4FED73D7" w14:textId="77777777" w:rsidR="00424106" w:rsidRPr="0020032A" w:rsidRDefault="0015025F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404040" w:themeColor="text1" w:themeTint="BF"/>
          <w:sz w:val="18"/>
          <w:szCs w:val="18"/>
        </w:rPr>
      </w:pPr>
      <w:r w:rsidRPr="0020032A">
        <w:rPr>
          <w:rFonts w:ascii="Arial" w:hAnsi="Arial" w:cs="Amiri Quran"/>
          <w:b/>
          <w:noProof/>
          <w:color w:val="404040" w:themeColor="text1" w:themeTint="BF"/>
          <w:sz w:val="18"/>
          <w:szCs w:val="18"/>
        </w:rPr>
        <w:drawing>
          <wp:inline distT="0" distB="0" distL="0" distR="0" wp14:anchorId="24702CED" wp14:editId="4B267566">
            <wp:extent cx="6429590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20" cy="780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1EE13" w14:textId="77777777" w:rsidR="00F144AF" w:rsidRPr="0020032A" w:rsidRDefault="00F144AF" w:rsidP="0020032A">
      <w:pPr>
        <w:spacing w:after="0" w:line="240" w:lineRule="auto"/>
        <w:ind w:left="5"/>
        <w:jc w:val="center"/>
        <w:rPr>
          <w:rFonts w:ascii="Times New Roman" w:hAnsi="Times New Roman"/>
          <w:b/>
          <w:color w:val="404040" w:themeColor="text1" w:themeTint="BF"/>
          <w:sz w:val="18"/>
          <w:szCs w:val="18"/>
          <w:lang w:val="en-US"/>
        </w:rPr>
      </w:pPr>
    </w:p>
    <w:p w14:paraId="0A97291F" w14:textId="3BDBA4C1" w:rsidR="00D134D1" w:rsidRPr="0020032A" w:rsidRDefault="00D134D1" w:rsidP="0020032A">
      <w:pPr>
        <w:pStyle w:val="a3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32"/>
          <w:szCs w:val="32"/>
        </w:rPr>
      </w:pPr>
      <w:r w:rsidRPr="0020032A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6411320C" w14:textId="7C0C0EB9" w:rsidR="00635048" w:rsidRPr="0020032A" w:rsidRDefault="00635048" w:rsidP="00E8733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 w:rsidRPr="0020032A">
        <w:rPr>
          <w:rFonts w:ascii="Times New Roman" w:hAnsi="Times New Roman"/>
          <w:b/>
          <w:color w:val="FF6600"/>
          <w:sz w:val="32"/>
          <w:szCs w:val="32"/>
        </w:rPr>
        <w:t xml:space="preserve">г. </w:t>
      </w:r>
      <w:r w:rsidR="000C0A9F">
        <w:rPr>
          <w:rFonts w:ascii="Times New Roman" w:hAnsi="Times New Roman"/>
          <w:b/>
          <w:color w:val="FF6600"/>
          <w:sz w:val="32"/>
          <w:szCs w:val="32"/>
        </w:rPr>
        <w:t>Ка</w:t>
      </w:r>
      <w:r w:rsidR="0067478B">
        <w:rPr>
          <w:rFonts w:ascii="Times New Roman" w:hAnsi="Times New Roman"/>
          <w:b/>
          <w:color w:val="FF6600"/>
          <w:sz w:val="32"/>
          <w:szCs w:val="32"/>
        </w:rPr>
        <w:t xml:space="preserve">лининград 17-25 октября 2026 г. </w:t>
      </w:r>
      <w:bookmarkStart w:id="0" w:name="_GoBack"/>
      <w:bookmarkEnd w:id="0"/>
    </w:p>
    <w:p w14:paraId="02B9E183" w14:textId="59ECB73B" w:rsidR="00F94BDC" w:rsidRPr="0067478B" w:rsidRDefault="002B619A" w:rsidP="0067478B">
      <w:pPr>
        <w:pStyle w:val="a3"/>
        <w:ind w:left="1134"/>
      </w:pPr>
      <w:r w:rsidRPr="0020032A">
        <w:rPr>
          <w:b/>
          <w:color w:val="0070C0"/>
          <w:sz w:val="28"/>
          <w:szCs w:val="28"/>
        </w:rPr>
        <w:t xml:space="preserve">Тема: </w:t>
      </w:r>
      <w:r w:rsidR="00D32003" w:rsidRPr="0020032A">
        <w:rPr>
          <w:b/>
          <w:color w:val="0070C0"/>
          <w:sz w:val="28"/>
          <w:szCs w:val="28"/>
        </w:rPr>
        <w:t>«</w:t>
      </w:r>
      <w:r w:rsidR="0067478B" w:rsidRPr="0067478B">
        <w:rPr>
          <w:b/>
          <w:color w:val="0070C0"/>
          <w:sz w:val="28"/>
          <w:szCs w:val="28"/>
        </w:rPr>
        <w:t>Управление государственным (муниципальным) учреждением. Экономическая безопасность и минимизация рисков в бюджетной сфере</w:t>
      </w:r>
      <w:r w:rsidR="0067478B" w:rsidRPr="0067478B">
        <w:rPr>
          <w:b/>
          <w:color w:val="0070C0"/>
          <w:sz w:val="28"/>
          <w:szCs w:val="28"/>
        </w:rPr>
        <w:t>»</w:t>
      </w:r>
      <w:r w:rsidR="0067478B">
        <w:t xml:space="preserve"> </w:t>
      </w:r>
    </w:p>
    <w:p w14:paraId="07ADC033" w14:textId="77777777" w:rsidR="0020032A" w:rsidRPr="0020032A" w:rsidRDefault="0020032A" w:rsidP="00E8733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14:paraId="758D5815" w14:textId="4EAA9284" w:rsidR="003B079B" w:rsidRDefault="00F94BDC" w:rsidP="003B079B">
      <w:pPr>
        <w:pStyle w:val="a4"/>
        <w:numPr>
          <w:ilvl w:val="0"/>
          <w:numId w:val="37"/>
        </w:numPr>
        <w:spacing w:after="0" w:line="240" w:lineRule="auto"/>
        <w:jc w:val="both"/>
        <w:outlineLvl w:val="0"/>
        <w:rPr>
          <w:rFonts w:ascii="Times New Roman" w:hAnsi="Times New Roman"/>
          <w:bCs/>
          <w:color w:val="404040" w:themeColor="text1" w:themeTint="BF"/>
        </w:rPr>
      </w:pPr>
      <w:r w:rsidRPr="0020032A">
        <w:rPr>
          <w:rFonts w:ascii="Times New Roman" w:hAnsi="Times New Roman"/>
          <w:bCs/>
          <w:color w:val="404040" w:themeColor="text1" w:themeTint="BF"/>
        </w:rPr>
        <w:t>Для р</w:t>
      </w:r>
      <w:r w:rsidR="00E56506" w:rsidRPr="0020032A">
        <w:rPr>
          <w:rFonts w:ascii="Times New Roman" w:hAnsi="Times New Roman"/>
          <w:bCs/>
          <w:color w:val="404040" w:themeColor="text1" w:themeTint="BF"/>
        </w:rPr>
        <w:t xml:space="preserve">уководителей органов государственной власти и местного самоуправления; специалистов, включенных в управленческий кадровый резерв. </w:t>
      </w:r>
    </w:p>
    <w:p w14:paraId="00C3A50E" w14:textId="77777777" w:rsidR="0020032A" w:rsidRPr="0020032A" w:rsidRDefault="0020032A" w:rsidP="0020032A">
      <w:pPr>
        <w:pStyle w:val="a4"/>
        <w:spacing w:after="0" w:line="240" w:lineRule="auto"/>
        <w:jc w:val="both"/>
        <w:outlineLvl w:val="0"/>
        <w:rPr>
          <w:rFonts w:ascii="Times New Roman" w:hAnsi="Times New Roman"/>
          <w:bCs/>
          <w:color w:val="404040" w:themeColor="text1" w:themeTint="BF"/>
        </w:rPr>
      </w:pPr>
    </w:p>
    <w:p w14:paraId="5F3B947B" w14:textId="465CEA17" w:rsidR="003B079B" w:rsidRPr="0020032A" w:rsidRDefault="003B079B" w:rsidP="003B079B">
      <w:pPr>
        <w:pStyle w:val="a4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404040" w:themeColor="text1" w:themeTint="BF"/>
        </w:rPr>
      </w:pPr>
      <w:r w:rsidRPr="0020032A">
        <w:rPr>
          <w:rFonts w:ascii="Times New Roman" w:hAnsi="Times New Roman"/>
          <w:b/>
          <w:color w:val="404040" w:themeColor="text1" w:themeTint="BF"/>
          <w:sz w:val="28"/>
          <w:szCs w:val="28"/>
        </w:rPr>
        <w:t>Программа для руководителей.</w:t>
      </w:r>
    </w:p>
    <w:p w14:paraId="0BBC2806" w14:textId="12909CD6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1.Важные изменения в законодательстве: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Меры по противодействию задержке выплаты зарплаты и другие изменения в ТК РФ (изменения, внесенные в ТК РФ Федеральным законом от 08.08.2024 № 268-ФЗ); Федеральным законом от 30.01.2024 № 3-ФЗ уточнены нормы ст. 236 ТК РФ о порядке выплаты компенсации, ежегодные отпуска работников-инвалидов ст. 115 ТК РФ в редакции 268-ФЗ; контроль за выполнением колл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ективных договоров и соглашений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51 ТК РФ); поправки к ст. 24.5 КоАП в отношении правил прекращения дел об административных правонарушениях при нехватке бюджетных средств.</w:t>
      </w:r>
    </w:p>
    <w:p w14:paraId="4C5832E3" w14:textId="77777777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2. Регулирование трудовых отношений в учреждениях: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вопросы штатного расписания; новшества в срочных трудовых договоров с руководителями структурных подразделений;</w:t>
      </w:r>
      <w:r w:rsidRPr="0020032A">
        <w:rPr>
          <w:color w:val="404040" w:themeColor="text1" w:themeTint="BF"/>
        </w:rPr>
        <w:t xml:space="preserve">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расторжение трудового договора с руководителем организации; система премирования;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2025 год.</w:t>
      </w:r>
    </w:p>
    <w:p w14:paraId="6EA51DF5" w14:textId="5AEB4F7A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3. </w:t>
      </w:r>
      <w:bookmarkStart w:id="1" w:name="_Hlk193188213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>Ответственность и правовой статус руководителя</w:t>
      </w:r>
      <w:bookmarkEnd w:id="1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механизмы защиты руководителя организаций бюджетной сферы, применение антикоррупционного законодательства, профилактика коррупционных правонарушений в бюджетном учре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ждении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</w:t>
      </w:r>
      <w:bookmarkStart w:id="2" w:name="_Hlk193129155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изменения требований антитеррористической защищенности бюджетных учреждений в период проведения СВО </w:t>
      </w:r>
      <w:bookmarkStart w:id="3" w:name="_Hlk193129179"/>
      <w:bookmarkEnd w:id="2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(Указ Президента РФ от 19.10.2022 №757</w:t>
      </w:r>
      <w:bookmarkEnd w:id="3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;</w:t>
      </w:r>
      <w:r w:rsidRPr="0020032A">
        <w:rPr>
          <w:color w:val="404040" w:themeColor="text1" w:themeTint="BF"/>
        </w:rPr>
        <w:t xml:space="preserve">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контроль учредителя; внутренний финансовый контроль и аудит; заключение соглашения о неразглашении конфиденциальной информации; </w:t>
      </w:r>
      <w:bookmarkStart w:id="4" w:name="_Hlk193124958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обязанности руководителя по обеспечению охраны и безопасности труда, и выполнению требований по гражданской обороне; ответственность </w:t>
      </w:r>
      <w:r w:rsidR="000B5A64" w:rsidRPr="0020032A">
        <w:rPr>
          <w:rFonts w:ascii="Times New Roman" w:hAnsi="Times New Roman"/>
          <w:color w:val="404040" w:themeColor="text1" w:themeTint="BF"/>
          <w:sz w:val="24"/>
          <w:szCs w:val="24"/>
        </w:rPr>
        <w:t>за заполнение справки о доходах.</w:t>
      </w:r>
    </w:p>
    <w:p w14:paraId="4F7B24A2" w14:textId="22D8682E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4. </w:t>
      </w:r>
      <w:bookmarkStart w:id="5" w:name="_Hlk193629168"/>
      <w:bookmarkEnd w:id="4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Изменения в бюджетном законодательстве, влияющие на деятельность организаций бюджетной сферы:</w:t>
      </w:r>
      <w:bookmarkEnd w:id="5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 </w:t>
      </w:r>
      <w:r w:rsidRPr="0020032A">
        <w:rPr>
          <w:rFonts w:ascii="Times New Roman" w:hAnsi="Times New Roman"/>
          <w:bCs/>
          <w:color w:val="404040" w:themeColor="text1" w:themeTint="BF"/>
          <w:sz w:val="24"/>
          <w:szCs w:val="24"/>
        </w:rPr>
        <w:t>совершенствования налогового и бюджетного законодательства (и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зменения в </w:t>
      </w:r>
      <w:r w:rsidR="000B5A64" w:rsidRPr="0020032A">
        <w:rPr>
          <w:rFonts w:ascii="Times New Roman" w:hAnsi="Times New Roman"/>
          <w:color w:val="404040" w:themeColor="text1" w:themeTint="BF"/>
          <w:sz w:val="24"/>
          <w:szCs w:val="24"/>
        </w:rPr>
        <w:t>Бюджетный кодекс Российской Федерации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);</w:t>
      </w:r>
      <w:r w:rsidRPr="0020032A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утверждены особенности исполнения бюджетов бю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джетной системы РФ в 2026 году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;</w:t>
      </w:r>
      <w:r w:rsidRPr="0020032A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bookmarkStart w:id="6" w:name="_Hlk193629218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основные направления бюджетной, налоговой и таможенно-тарифной политики на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 и на плановый период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7 и 2028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годов:</w:t>
      </w:r>
      <w:r w:rsidRPr="0020032A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bookmarkEnd w:id="6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завершение нормализации и выход на структурный первичный баланс бюджета, преференциальные механизмы предусмотренные для региональных инвестиционных проектов.</w:t>
      </w:r>
    </w:p>
    <w:p w14:paraId="42393298" w14:textId="1F8562C7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5. </w:t>
      </w:r>
      <w:bookmarkStart w:id="7" w:name="_Hlk193631501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>Установление дополнительных мер по обеспечению прозрачности и эффективности расходов бюджета</w:t>
      </w:r>
      <w:bookmarkEnd w:id="7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актуальные </w:t>
      </w:r>
      <w:bookmarkStart w:id="8" w:name="_Hlk193631547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правила предоставления из федерального бюджета грантов в форме субсидий в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году</w:t>
      </w:r>
      <w:bookmarkEnd w:id="8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; порядок предоставления субсидий на иные цели в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году; </w:t>
      </w:r>
      <w:bookmarkStart w:id="9" w:name="_Hlk193634391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изменения в казначейском сопровождении субсидий</w:t>
      </w:r>
      <w:bookmarkEnd w:id="9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</w:t>
      </w:r>
      <w:bookmarkStart w:id="10" w:name="_Hlk193645157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повышение ответственности бюджетных учреждений за нецелевое и неэффективное использование субсидий</w:t>
      </w:r>
      <w:bookmarkEnd w:id="10"/>
      <w:r w:rsidR="000B5A64" w:rsidRPr="0020032A">
        <w:rPr>
          <w:rFonts w:ascii="Times New Roman" w:hAnsi="Times New Roman"/>
          <w:color w:val="404040" w:themeColor="text1" w:themeTint="BF"/>
          <w:sz w:val="24"/>
          <w:szCs w:val="24"/>
        </w:rPr>
        <w:t>, судебная практика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.</w:t>
      </w:r>
    </w:p>
    <w:p w14:paraId="2756BF98" w14:textId="32ADEF86" w:rsidR="003B079B" w:rsidRPr="0020032A" w:rsidRDefault="003B079B" w:rsidP="003B079B">
      <w:pPr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ascii="Montserrat" w:hAnsi="Montserrat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lastRenderedPageBreak/>
        <w:t>6.</w:t>
      </w:r>
      <w:bookmarkStart w:id="11" w:name="_Hlk193720474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 Ответственность за правонарушения в бюджетной сфере</w:t>
      </w:r>
      <w:bookmarkEnd w:id="11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: </w:t>
      </w:r>
      <w:r w:rsidRPr="0020032A">
        <w:rPr>
          <w:rFonts w:ascii="Times New Roman" w:hAnsi="Times New Roman"/>
          <w:bCs/>
          <w:color w:val="404040" w:themeColor="text1" w:themeTint="BF"/>
          <w:sz w:val="24"/>
          <w:szCs w:val="24"/>
        </w:rPr>
        <w:t>профилактика и минимизация рисков, примеры судебной практики; в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иды бюджетных нарушений и бюджетные меры принуждения; выявление финансовых рисков, методы управления рисками, направленные на обеспечение соблюдения законодательных, нормативно-правовых актов, способы повышения качества бюджетной отчетности, а также эффективности расходования бюджетных средств; примеры неэффективного использования бюджетных средств; изменения в КОАП.</w:t>
      </w:r>
    </w:p>
    <w:p w14:paraId="460103E8" w14:textId="68524B57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7. Вопросы цифровизаци</w:t>
      </w:r>
      <w:r w:rsidR="00741D0A"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и бюджетного сектора экономики: </w:t>
      </w:r>
      <w:r w:rsidRPr="0020032A">
        <w:rPr>
          <w:rFonts w:ascii="Times New Roman" w:hAnsi="Times New Roman"/>
          <w:bCs/>
          <w:color w:val="404040" w:themeColor="text1" w:themeTint="BF"/>
          <w:sz w:val="24"/>
          <w:szCs w:val="24"/>
        </w:rPr>
        <w:t>цифровизация для организаций бюджетной сферы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ответственность руководителя организации бюджетной сферы при переходе на электронные документы; распределение обязанностей при работе с </w:t>
      </w:r>
      <w:bookmarkStart w:id="12" w:name="_Hlk193802970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официальным сайтом о государственных (муниципальных) учреждениях bus.gov.ru</w:t>
      </w:r>
      <w:bookmarkEnd w:id="12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.; ответственность руководителя в размещении информации на едином портале бюджетной системы Российской Федерации budget.gov.ru.; особенности перехода на цифровой рубль.</w:t>
      </w:r>
    </w:p>
    <w:p w14:paraId="529E3748" w14:textId="77777777" w:rsidR="003B079B" w:rsidRPr="0020032A" w:rsidRDefault="003B079B" w:rsidP="003B079B">
      <w:pPr>
        <w:spacing w:after="0" w:line="240" w:lineRule="auto"/>
        <w:ind w:left="1134"/>
        <w:jc w:val="both"/>
        <w:rPr>
          <w:rFonts w:ascii="Times New Roman" w:hAnsi="Times New Roman"/>
          <w:b/>
          <w:color w:val="404040" w:themeColor="text1" w:themeTint="BF"/>
          <w:u w:val="single"/>
        </w:rPr>
      </w:pPr>
    </w:p>
    <w:p w14:paraId="595B73A3" w14:textId="491F63D7" w:rsidR="005562ED" w:rsidRPr="0020032A" w:rsidRDefault="005562ED" w:rsidP="00432E43">
      <w:pPr>
        <w:spacing w:after="0" w:line="240" w:lineRule="auto"/>
        <w:ind w:left="1134"/>
        <w:rPr>
          <w:rFonts w:ascii="Times New Roman" w:hAnsi="Times New Roman"/>
          <w:b/>
          <w:color w:val="404040" w:themeColor="text1" w:themeTint="BF"/>
        </w:rPr>
      </w:pPr>
    </w:p>
    <w:sectPr w:rsidR="005562ED" w:rsidRPr="0020032A" w:rsidSect="003B079B">
      <w:pgSz w:w="11906" w:h="16838"/>
      <w:pgMar w:top="568" w:right="850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69F9E" w14:textId="77777777" w:rsidR="008775A8" w:rsidRDefault="008775A8" w:rsidP="005562ED">
      <w:pPr>
        <w:spacing w:after="0" w:line="240" w:lineRule="auto"/>
      </w:pPr>
      <w:r>
        <w:separator/>
      </w:r>
    </w:p>
  </w:endnote>
  <w:endnote w:type="continuationSeparator" w:id="0">
    <w:p w14:paraId="0728F6E0" w14:textId="77777777" w:rsidR="008775A8" w:rsidRDefault="008775A8" w:rsidP="0055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Montserrat">
    <w:altName w:val="Cambria"/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FF972" w14:textId="77777777" w:rsidR="008775A8" w:rsidRDefault="008775A8" w:rsidP="005562ED">
      <w:pPr>
        <w:spacing w:after="0" w:line="240" w:lineRule="auto"/>
      </w:pPr>
      <w:r>
        <w:separator/>
      </w:r>
    </w:p>
  </w:footnote>
  <w:footnote w:type="continuationSeparator" w:id="0">
    <w:p w14:paraId="5148F09F" w14:textId="77777777" w:rsidR="008775A8" w:rsidRDefault="008775A8" w:rsidP="00556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C2E9"/>
      </v:shape>
    </w:pict>
  </w:numPicBullet>
  <w:abstractNum w:abstractNumId="0" w15:restartNumberingAfterBreak="0">
    <w:nsid w:val="00917453"/>
    <w:multiLevelType w:val="hybridMultilevel"/>
    <w:tmpl w:val="544A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A71"/>
    <w:multiLevelType w:val="hybridMultilevel"/>
    <w:tmpl w:val="16D0A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17E"/>
    <w:multiLevelType w:val="multilevel"/>
    <w:tmpl w:val="DD5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67F4E"/>
    <w:multiLevelType w:val="multilevel"/>
    <w:tmpl w:val="754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314A"/>
    <w:multiLevelType w:val="hybridMultilevel"/>
    <w:tmpl w:val="23D04476"/>
    <w:lvl w:ilvl="0" w:tplc="DBC48D4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B64D95"/>
    <w:multiLevelType w:val="multilevel"/>
    <w:tmpl w:val="491A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A6762"/>
    <w:multiLevelType w:val="multilevel"/>
    <w:tmpl w:val="DC8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E4992"/>
    <w:multiLevelType w:val="hybridMultilevel"/>
    <w:tmpl w:val="5CF20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C60C0"/>
    <w:multiLevelType w:val="hybridMultilevel"/>
    <w:tmpl w:val="83AE3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5E85"/>
    <w:multiLevelType w:val="hybridMultilevel"/>
    <w:tmpl w:val="265C114E"/>
    <w:lvl w:ilvl="0" w:tplc="5DA269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E07"/>
    <w:multiLevelType w:val="hybridMultilevel"/>
    <w:tmpl w:val="C15EB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177"/>
    <w:multiLevelType w:val="hybridMultilevel"/>
    <w:tmpl w:val="BC92B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A28E0"/>
    <w:multiLevelType w:val="multilevel"/>
    <w:tmpl w:val="C6E2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766DA"/>
    <w:multiLevelType w:val="hybridMultilevel"/>
    <w:tmpl w:val="8F92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B490B"/>
    <w:multiLevelType w:val="hybridMultilevel"/>
    <w:tmpl w:val="BD866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0C77"/>
    <w:multiLevelType w:val="hybridMultilevel"/>
    <w:tmpl w:val="D1DE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7315E"/>
    <w:multiLevelType w:val="hybridMultilevel"/>
    <w:tmpl w:val="25023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2E07"/>
    <w:multiLevelType w:val="hybridMultilevel"/>
    <w:tmpl w:val="1A56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34FA2"/>
    <w:multiLevelType w:val="hybridMultilevel"/>
    <w:tmpl w:val="A0E4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E682E"/>
    <w:multiLevelType w:val="multilevel"/>
    <w:tmpl w:val="E4FA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358CD"/>
    <w:multiLevelType w:val="hybridMultilevel"/>
    <w:tmpl w:val="0FA6B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42072"/>
    <w:multiLevelType w:val="hybridMultilevel"/>
    <w:tmpl w:val="4462C7B4"/>
    <w:lvl w:ilvl="0" w:tplc="BD38B2C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B245E57"/>
    <w:multiLevelType w:val="hybridMultilevel"/>
    <w:tmpl w:val="08946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F7A32B3"/>
    <w:multiLevelType w:val="multilevel"/>
    <w:tmpl w:val="7EEE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F3871"/>
    <w:multiLevelType w:val="hybridMultilevel"/>
    <w:tmpl w:val="23A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4251E"/>
    <w:multiLevelType w:val="hybridMultilevel"/>
    <w:tmpl w:val="41E2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E14ED"/>
    <w:multiLevelType w:val="hybridMultilevel"/>
    <w:tmpl w:val="E8B2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C06AF"/>
    <w:multiLevelType w:val="hybridMultilevel"/>
    <w:tmpl w:val="38F6AC34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17D97"/>
    <w:multiLevelType w:val="hybridMultilevel"/>
    <w:tmpl w:val="CBB2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A6950"/>
    <w:multiLevelType w:val="hybridMultilevel"/>
    <w:tmpl w:val="ECF62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30E15"/>
    <w:multiLevelType w:val="hybridMultilevel"/>
    <w:tmpl w:val="BEB4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104A"/>
    <w:multiLevelType w:val="multilevel"/>
    <w:tmpl w:val="2B9A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D518B"/>
    <w:multiLevelType w:val="hybridMultilevel"/>
    <w:tmpl w:val="084C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A4815"/>
    <w:multiLevelType w:val="hybridMultilevel"/>
    <w:tmpl w:val="3A2E837C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94561"/>
    <w:multiLevelType w:val="hybridMultilevel"/>
    <w:tmpl w:val="C0E0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64043"/>
    <w:multiLevelType w:val="hybridMultilevel"/>
    <w:tmpl w:val="86FAB6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A581C"/>
    <w:multiLevelType w:val="hybridMultilevel"/>
    <w:tmpl w:val="ECF8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23"/>
  </w:num>
  <w:num w:numId="5">
    <w:abstractNumId w:val="6"/>
  </w:num>
  <w:num w:numId="6">
    <w:abstractNumId w:val="4"/>
  </w:num>
  <w:num w:numId="7">
    <w:abstractNumId w:val="21"/>
  </w:num>
  <w:num w:numId="8">
    <w:abstractNumId w:val="9"/>
  </w:num>
  <w:num w:numId="9">
    <w:abstractNumId w:val="17"/>
  </w:num>
  <w:num w:numId="10">
    <w:abstractNumId w:val="10"/>
  </w:num>
  <w:num w:numId="11">
    <w:abstractNumId w:val="20"/>
  </w:num>
  <w:num w:numId="12">
    <w:abstractNumId w:val="34"/>
  </w:num>
  <w:num w:numId="13">
    <w:abstractNumId w:val="32"/>
  </w:num>
  <w:num w:numId="14">
    <w:abstractNumId w:val="14"/>
  </w:num>
  <w:num w:numId="15">
    <w:abstractNumId w:val="13"/>
  </w:num>
  <w:num w:numId="16">
    <w:abstractNumId w:val="7"/>
  </w:num>
  <w:num w:numId="17">
    <w:abstractNumId w:val="25"/>
  </w:num>
  <w:num w:numId="18">
    <w:abstractNumId w:val="26"/>
  </w:num>
  <w:num w:numId="19">
    <w:abstractNumId w:val="36"/>
  </w:num>
  <w:num w:numId="20">
    <w:abstractNumId w:val="18"/>
  </w:num>
  <w:num w:numId="21">
    <w:abstractNumId w:val="29"/>
  </w:num>
  <w:num w:numId="22">
    <w:abstractNumId w:val="24"/>
  </w:num>
  <w:num w:numId="23">
    <w:abstractNumId w:val="11"/>
  </w:num>
  <w:num w:numId="24">
    <w:abstractNumId w:val="0"/>
  </w:num>
  <w:num w:numId="25">
    <w:abstractNumId w:val="1"/>
  </w:num>
  <w:num w:numId="26">
    <w:abstractNumId w:val="15"/>
  </w:num>
  <w:num w:numId="27">
    <w:abstractNumId w:val="8"/>
  </w:num>
  <w:num w:numId="28">
    <w:abstractNumId w:val="30"/>
  </w:num>
  <w:num w:numId="29">
    <w:abstractNumId w:val="28"/>
  </w:num>
  <w:num w:numId="30">
    <w:abstractNumId w:val="31"/>
  </w:num>
  <w:num w:numId="31">
    <w:abstractNumId w:val="22"/>
  </w:num>
  <w:num w:numId="32">
    <w:abstractNumId w:val="12"/>
  </w:num>
  <w:num w:numId="33">
    <w:abstractNumId w:val="27"/>
  </w:num>
  <w:num w:numId="34">
    <w:abstractNumId w:val="33"/>
  </w:num>
  <w:num w:numId="35">
    <w:abstractNumId w:val="19"/>
  </w:num>
  <w:num w:numId="36">
    <w:abstractNumId w:val="5"/>
  </w:num>
  <w:num w:numId="37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1"/>
    <w:rsid w:val="000144FB"/>
    <w:rsid w:val="00027380"/>
    <w:rsid w:val="00053516"/>
    <w:rsid w:val="000568CF"/>
    <w:rsid w:val="00092749"/>
    <w:rsid w:val="00094662"/>
    <w:rsid w:val="000A60E4"/>
    <w:rsid w:val="000B5A64"/>
    <w:rsid w:val="000C0A9F"/>
    <w:rsid w:val="000D14EA"/>
    <w:rsid w:val="000E490E"/>
    <w:rsid w:val="00111CA6"/>
    <w:rsid w:val="00114F3E"/>
    <w:rsid w:val="00120F35"/>
    <w:rsid w:val="00122DAC"/>
    <w:rsid w:val="001352B2"/>
    <w:rsid w:val="001462DC"/>
    <w:rsid w:val="0015025F"/>
    <w:rsid w:val="001617E8"/>
    <w:rsid w:val="001B1623"/>
    <w:rsid w:val="001C7128"/>
    <w:rsid w:val="001D2A59"/>
    <w:rsid w:val="001E08C2"/>
    <w:rsid w:val="0020032A"/>
    <w:rsid w:val="00213FBA"/>
    <w:rsid w:val="002327F7"/>
    <w:rsid w:val="0023716A"/>
    <w:rsid w:val="00257077"/>
    <w:rsid w:val="00285D19"/>
    <w:rsid w:val="00291A60"/>
    <w:rsid w:val="00297EDA"/>
    <w:rsid w:val="002B619A"/>
    <w:rsid w:val="002C4390"/>
    <w:rsid w:val="002C4620"/>
    <w:rsid w:val="002D4090"/>
    <w:rsid w:val="00301F57"/>
    <w:rsid w:val="00316227"/>
    <w:rsid w:val="003201F7"/>
    <w:rsid w:val="00325015"/>
    <w:rsid w:val="0032572F"/>
    <w:rsid w:val="00340962"/>
    <w:rsid w:val="003523CF"/>
    <w:rsid w:val="00385721"/>
    <w:rsid w:val="00393A63"/>
    <w:rsid w:val="003948A9"/>
    <w:rsid w:val="003A1CD9"/>
    <w:rsid w:val="003A615F"/>
    <w:rsid w:val="003B079B"/>
    <w:rsid w:val="003B0F71"/>
    <w:rsid w:val="003B43F8"/>
    <w:rsid w:val="003B4512"/>
    <w:rsid w:val="003C08DE"/>
    <w:rsid w:val="003C6BAE"/>
    <w:rsid w:val="003D2ADF"/>
    <w:rsid w:val="003D3DC8"/>
    <w:rsid w:val="003D4344"/>
    <w:rsid w:val="003D6B61"/>
    <w:rsid w:val="003E30F4"/>
    <w:rsid w:val="003F13F0"/>
    <w:rsid w:val="003F6BF5"/>
    <w:rsid w:val="00424106"/>
    <w:rsid w:val="004310A3"/>
    <w:rsid w:val="00432E43"/>
    <w:rsid w:val="004875B3"/>
    <w:rsid w:val="004A534C"/>
    <w:rsid w:val="004A5E60"/>
    <w:rsid w:val="004D6F9B"/>
    <w:rsid w:val="00523148"/>
    <w:rsid w:val="00532153"/>
    <w:rsid w:val="005562ED"/>
    <w:rsid w:val="00560A59"/>
    <w:rsid w:val="00575142"/>
    <w:rsid w:val="005B1FD4"/>
    <w:rsid w:val="005C6766"/>
    <w:rsid w:val="005E6F69"/>
    <w:rsid w:val="005F41C7"/>
    <w:rsid w:val="005F6BA1"/>
    <w:rsid w:val="00614716"/>
    <w:rsid w:val="00617887"/>
    <w:rsid w:val="0062102B"/>
    <w:rsid w:val="00635048"/>
    <w:rsid w:val="00635298"/>
    <w:rsid w:val="00636E21"/>
    <w:rsid w:val="0063721A"/>
    <w:rsid w:val="00641EF8"/>
    <w:rsid w:val="00645C7B"/>
    <w:rsid w:val="006608C7"/>
    <w:rsid w:val="0067478B"/>
    <w:rsid w:val="00675B8B"/>
    <w:rsid w:val="006A31CE"/>
    <w:rsid w:val="006A774C"/>
    <w:rsid w:val="006B1014"/>
    <w:rsid w:val="006B6394"/>
    <w:rsid w:val="006D3E1D"/>
    <w:rsid w:val="006F66C7"/>
    <w:rsid w:val="00705D62"/>
    <w:rsid w:val="00706A7C"/>
    <w:rsid w:val="00731D9E"/>
    <w:rsid w:val="00732593"/>
    <w:rsid w:val="00741D0A"/>
    <w:rsid w:val="00743BF8"/>
    <w:rsid w:val="00751481"/>
    <w:rsid w:val="00760DAB"/>
    <w:rsid w:val="00776493"/>
    <w:rsid w:val="00776F2A"/>
    <w:rsid w:val="00796989"/>
    <w:rsid w:val="00797ACD"/>
    <w:rsid w:val="007A17EF"/>
    <w:rsid w:val="007A6DC1"/>
    <w:rsid w:val="007D2AB1"/>
    <w:rsid w:val="007D76A0"/>
    <w:rsid w:val="007F2C82"/>
    <w:rsid w:val="0081449F"/>
    <w:rsid w:val="00826DFF"/>
    <w:rsid w:val="00834CDD"/>
    <w:rsid w:val="00850187"/>
    <w:rsid w:val="00865A8E"/>
    <w:rsid w:val="008775A8"/>
    <w:rsid w:val="00881EBB"/>
    <w:rsid w:val="008A4148"/>
    <w:rsid w:val="008A76C4"/>
    <w:rsid w:val="008B759D"/>
    <w:rsid w:val="008C3F3A"/>
    <w:rsid w:val="008E37AA"/>
    <w:rsid w:val="008F0FEF"/>
    <w:rsid w:val="008F491A"/>
    <w:rsid w:val="008F712D"/>
    <w:rsid w:val="009176CF"/>
    <w:rsid w:val="00944064"/>
    <w:rsid w:val="00976462"/>
    <w:rsid w:val="009F3809"/>
    <w:rsid w:val="00A2533A"/>
    <w:rsid w:val="00A56502"/>
    <w:rsid w:val="00A610CD"/>
    <w:rsid w:val="00A66E16"/>
    <w:rsid w:val="00A7445F"/>
    <w:rsid w:val="00A76194"/>
    <w:rsid w:val="00A92269"/>
    <w:rsid w:val="00A9751E"/>
    <w:rsid w:val="00AA12E8"/>
    <w:rsid w:val="00AA2A11"/>
    <w:rsid w:val="00AC5B5B"/>
    <w:rsid w:val="00AD279E"/>
    <w:rsid w:val="00AE59C9"/>
    <w:rsid w:val="00AE77BC"/>
    <w:rsid w:val="00B1023C"/>
    <w:rsid w:val="00B63B14"/>
    <w:rsid w:val="00B64E3E"/>
    <w:rsid w:val="00B73008"/>
    <w:rsid w:val="00B75908"/>
    <w:rsid w:val="00B7619B"/>
    <w:rsid w:val="00B838E6"/>
    <w:rsid w:val="00B84ABB"/>
    <w:rsid w:val="00B85859"/>
    <w:rsid w:val="00B87297"/>
    <w:rsid w:val="00BA1E21"/>
    <w:rsid w:val="00BC213B"/>
    <w:rsid w:val="00BE6152"/>
    <w:rsid w:val="00C1547A"/>
    <w:rsid w:val="00C5162C"/>
    <w:rsid w:val="00C60653"/>
    <w:rsid w:val="00C71397"/>
    <w:rsid w:val="00C764A4"/>
    <w:rsid w:val="00C824DD"/>
    <w:rsid w:val="00CA4BFE"/>
    <w:rsid w:val="00CB4A0E"/>
    <w:rsid w:val="00CC6C94"/>
    <w:rsid w:val="00D03850"/>
    <w:rsid w:val="00D03F3D"/>
    <w:rsid w:val="00D134D1"/>
    <w:rsid w:val="00D23CE3"/>
    <w:rsid w:val="00D32003"/>
    <w:rsid w:val="00D369B8"/>
    <w:rsid w:val="00D439E1"/>
    <w:rsid w:val="00D6561D"/>
    <w:rsid w:val="00D75E93"/>
    <w:rsid w:val="00D77311"/>
    <w:rsid w:val="00D87096"/>
    <w:rsid w:val="00DC0AE3"/>
    <w:rsid w:val="00DD3243"/>
    <w:rsid w:val="00DD69B0"/>
    <w:rsid w:val="00DF0835"/>
    <w:rsid w:val="00DF34D6"/>
    <w:rsid w:val="00E04E02"/>
    <w:rsid w:val="00E14521"/>
    <w:rsid w:val="00E15710"/>
    <w:rsid w:val="00E377B2"/>
    <w:rsid w:val="00E56506"/>
    <w:rsid w:val="00E8721D"/>
    <w:rsid w:val="00E87333"/>
    <w:rsid w:val="00EA1A03"/>
    <w:rsid w:val="00EA6848"/>
    <w:rsid w:val="00EA6CCF"/>
    <w:rsid w:val="00EB7B28"/>
    <w:rsid w:val="00EC4091"/>
    <w:rsid w:val="00EC7072"/>
    <w:rsid w:val="00F06299"/>
    <w:rsid w:val="00F116B3"/>
    <w:rsid w:val="00F13D4F"/>
    <w:rsid w:val="00F144AF"/>
    <w:rsid w:val="00F22891"/>
    <w:rsid w:val="00F26825"/>
    <w:rsid w:val="00F4402E"/>
    <w:rsid w:val="00F44DEE"/>
    <w:rsid w:val="00F563F5"/>
    <w:rsid w:val="00F707E5"/>
    <w:rsid w:val="00F90F74"/>
    <w:rsid w:val="00F94BDC"/>
    <w:rsid w:val="00FB494A"/>
    <w:rsid w:val="00F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D0FB"/>
  <w15:docId w15:val="{157D5619-D49D-4732-B1C2-8C9944EE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34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F083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5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4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6E16"/>
    <w:pPr>
      <w:ind w:left="720"/>
      <w:contextualSpacing/>
    </w:pPr>
  </w:style>
  <w:style w:type="paragraph" w:styleId="3">
    <w:name w:val="Body Text 3"/>
    <w:basedOn w:val="a"/>
    <w:link w:val="30"/>
    <w:rsid w:val="00B7619B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761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560A59"/>
    <w:rPr>
      <w:b/>
      <w:bCs/>
    </w:rPr>
  </w:style>
  <w:style w:type="character" w:styleId="a6">
    <w:name w:val="Hyperlink"/>
    <w:basedOn w:val="a0"/>
    <w:uiPriority w:val="99"/>
    <w:semiHidden/>
    <w:unhideWhenUsed/>
    <w:rsid w:val="00560A5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08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E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layout">
    <w:name w:val="layout"/>
    <w:basedOn w:val="a0"/>
    <w:rsid w:val="00881EBB"/>
  </w:style>
  <w:style w:type="character" w:customStyle="1" w:styleId="40">
    <w:name w:val="Заголовок 4 Знак"/>
    <w:basedOn w:val="a0"/>
    <w:link w:val="4"/>
    <w:uiPriority w:val="9"/>
    <w:semiHidden/>
    <w:rsid w:val="00A9751E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</dc:creator>
  <cp:lastModifiedBy>User</cp:lastModifiedBy>
  <cp:revision>47</cp:revision>
  <dcterms:created xsi:type="dcterms:W3CDTF">2022-10-04T07:57:00Z</dcterms:created>
  <dcterms:modified xsi:type="dcterms:W3CDTF">2026-06-22T13:14:00Z</dcterms:modified>
</cp:coreProperties>
</file>