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7BEE7D38" w14:textId="388B453E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r w:rsidR="00C67ADC">
        <w:rPr>
          <w:rFonts w:ascii="Times New Roman" w:eastAsia="Times New Roman" w:hAnsi="Times New Roman" w:cs="Times New Roman"/>
          <w:b/>
          <w:sz w:val="24"/>
        </w:rPr>
        <w:t>Бессмертный полк 2026</w:t>
      </w:r>
      <w:r w:rsidR="00CE6AA3">
        <w:rPr>
          <w:rFonts w:ascii="Times New Roman" w:eastAsia="Times New Roman" w:hAnsi="Times New Roman" w:cs="Times New Roman"/>
          <w:b/>
          <w:sz w:val="24"/>
        </w:rPr>
        <w:t>»</w:t>
      </w:r>
    </w:p>
    <w:p w14:paraId="6B977BAC" w14:textId="6BE2BD04" w:rsidR="00C67ADC" w:rsidRDefault="00962F7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Проект,</w:t>
      </w:r>
      <w:r w:rsidR="00C67ADC">
        <w:rPr>
          <w:rFonts w:ascii="Times New Roman" w:eastAsia="Times New Roman" w:hAnsi="Times New Roman" w:cs="Times New Roman"/>
          <w:b/>
          <w:sz w:val="24"/>
        </w:rPr>
        <w:t xml:space="preserve"> посвященный </w:t>
      </w:r>
      <w:r w:rsidR="00C67ADC" w:rsidRPr="00C67ADC">
        <w:rPr>
          <w:rFonts w:ascii="Times New Roman" w:eastAsia="Times New Roman" w:hAnsi="Times New Roman" w:cs="Times New Roman"/>
          <w:b/>
          <w:sz w:val="24"/>
        </w:rPr>
        <w:t>81-</w:t>
      </w:r>
      <w:r w:rsidR="00C67ADC">
        <w:rPr>
          <w:rFonts w:ascii="Times New Roman" w:eastAsia="Times New Roman" w:hAnsi="Times New Roman" w:cs="Times New Roman"/>
          <w:b/>
          <w:sz w:val="24"/>
        </w:rPr>
        <w:t>й</w:t>
      </w:r>
      <w:r w:rsidR="00C67ADC" w:rsidRPr="00C67ADC">
        <w:rPr>
          <w:rFonts w:ascii="Times New Roman" w:eastAsia="Times New Roman" w:hAnsi="Times New Roman" w:cs="Times New Roman"/>
          <w:b/>
          <w:sz w:val="24"/>
        </w:rPr>
        <w:t xml:space="preserve"> годовщин</w:t>
      </w:r>
      <w:r w:rsidR="00C67ADC">
        <w:rPr>
          <w:rFonts w:ascii="Times New Roman" w:eastAsia="Times New Roman" w:hAnsi="Times New Roman" w:cs="Times New Roman"/>
          <w:b/>
          <w:sz w:val="24"/>
        </w:rPr>
        <w:t>е</w:t>
      </w:r>
      <w:r w:rsidR="00C67ADC" w:rsidRPr="00C67ADC">
        <w:rPr>
          <w:rFonts w:ascii="Times New Roman" w:eastAsia="Times New Roman" w:hAnsi="Times New Roman" w:cs="Times New Roman"/>
          <w:b/>
          <w:sz w:val="24"/>
        </w:rPr>
        <w:t xml:space="preserve"> Победы в Великой Отечественной войне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bookmarkStart w:id="0" w:name="_GoBack"/>
      <w:bookmarkEnd w:id="0"/>
    </w:p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7117C9B2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C67ADC">
        <w:rPr>
          <w:rFonts w:ascii="Times New Roman" w:eastAsia="Times New Roman" w:hAnsi="Times New Roman" w:cs="Times New Roman"/>
          <w:b/>
          <w:sz w:val="24"/>
        </w:rPr>
        <w:t>15 апреля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15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67ADC">
        <w:rPr>
          <w:rFonts w:ascii="Times New Roman" w:eastAsia="Times New Roman" w:hAnsi="Times New Roman" w:cs="Times New Roman"/>
          <w:b/>
          <w:sz w:val="24"/>
        </w:rPr>
        <w:t>мая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3E57C8C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C67ADC">
        <w:rPr>
          <w:rFonts w:ascii="Times New Roman" w:eastAsia="Times New Roman" w:hAnsi="Times New Roman" w:cs="Times New Roman"/>
          <w:b/>
          <w:sz w:val="24"/>
        </w:rPr>
        <w:t>20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67ADC">
        <w:rPr>
          <w:rFonts w:ascii="Times New Roman" w:eastAsia="Times New Roman" w:hAnsi="Times New Roman" w:cs="Times New Roman"/>
          <w:b/>
          <w:sz w:val="24"/>
        </w:rPr>
        <w:t>мая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414C281C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527B65">
        <w:rPr>
          <w:rFonts w:ascii="Times New Roman" w:eastAsia="Times New Roman" w:hAnsi="Times New Roman" w:cs="Times New Roman"/>
          <w:b/>
          <w:sz w:val="24"/>
        </w:rPr>
        <w:t>2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5 </w:t>
      </w:r>
      <w:r w:rsidR="00C67ADC">
        <w:rPr>
          <w:rFonts w:ascii="Times New Roman" w:eastAsia="Times New Roman" w:hAnsi="Times New Roman" w:cs="Times New Roman"/>
          <w:b/>
          <w:sz w:val="24"/>
        </w:rPr>
        <w:t>мая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lastRenderedPageBreak/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Все поступающие организационные взносы от участников идут на покрытие расходов на 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lastRenderedPageBreak/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ДЕКОРАТИВНО - ПРИКЛАДНОЕ ТВОРЧЕСТВО (принимаются 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lastRenderedPageBreak/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3D2313"/>
    <w:rsid w:val="003D5AD0"/>
    <w:rsid w:val="00527B65"/>
    <w:rsid w:val="005D0506"/>
    <w:rsid w:val="006E2491"/>
    <w:rsid w:val="008D7413"/>
    <w:rsid w:val="00962F7E"/>
    <w:rsid w:val="009724E4"/>
    <w:rsid w:val="00A0384C"/>
    <w:rsid w:val="00AE18BD"/>
    <w:rsid w:val="00B32D0D"/>
    <w:rsid w:val="00B826AF"/>
    <w:rsid w:val="00BE69B1"/>
    <w:rsid w:val="00BE7C1F"/>
    <w:rsid w:val="00C67ADC"/>
    <w:rsid w:val="00CE6AA3"/>
    <w:rsid w:val="00D06C84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32</cp:revision>
  <dcterms:created xsi:type="dcterms:W3CDTF">2025-11-05T11:47:00Z</dcterms:created>
  <dcterms:modified xsi:type="dcterms:W3CDTF">2026-05-04T04:55:00Z</dcterms:modified>
  <dc:language>ru-RU</dc:language>
</cp:coreProperties>
</file>