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97B" w:rsidRPr="007D64E6" w:rsidRDefault="00544F49">
      <w:pPr>
        <w:jc w:val="center"/>
        <w:rPr>
          <w:color w:val="00B050"/>
          <w:sz w:val="36"/>
        </w:rPr>
      </w:pPr>
      <w:bookmarkStart w:id="0" w:name="_GoBack"/>
      <w:bookmarkEnd w:id="0"/>
      <w:r w:rsidRPr="007D64E6">
        <w:rPr>
          <w:color w:val="00B050"/>
          <w:sz w:val="36"/>
        </w:rPr>
        <w:t xml:space="preserve">ТЕХНИЧЕСКИЕ УСЛОВИЯ НА ЛАКОКРАСОЧНОЕ ПОКРЫТИЕ (ЛКП) 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30"/>
        <w:gridCol w:w="4143"/>
        <w:gridCol w:w="4672"/>
      </w:tblGrid>
      <w:tr w:rsidR="00F1797B">
        <w:tc>
          <w:tcPr>
            <w:tcW w:w="530" w:type="dxa"/>
          </w:tcPr>
          <w:p w:rsidR="00F1797B" w:rsidRDefault="00544F49">
            <w:r>
              <w:t>№</w:t>
            </w:r>
          </w:p>
          <w:p w:rsidR="00F1797B" w:rsidRDefault="00544F49">
            <w:r>
              <w:t>п/п</w:t>
            </w:r>
          </w:p>
        </w:tc>
        <w:tc>
          <w:tcPr>
            <w:tcW w:w="4143" w:type="dxa"/>
          </w:tcPr>
          <w:p w:rsidR="00F1797B" w:rsidRDefault="00544F49">
            <w:pPr>
              <w:jc w:val="center"/>
            </w:pPr>
            <w:r>
              <w:t>Наименование показателей внешнего вида покрытия</w:t>
            </w:r>
          </w:p>
        </w:tc>
        <w:tc>
          <w:tcPr>
            <w:tcW w:w="4672" w:type="dxa"/>
          </w:tcPr>
          <w:p w:rsidR="00F1797B" w:rsidRDefault="00544F49">
            <w:pPr>
              <w:jc w:val="center"/>
            </w:pPr>
            <w:r>
              <w:t>Нормы ЛКП</w:t>
            </w:r>
          </w:p>
        </w:tc>
      </w:tr>
      <w:tr w:rsidR="00F1797B">
        <w:tc>
          <w:tcPr>
            <w:tcW w:w="530" w:type="dxa"/>
          </w:tcPr>
          <w:p w:rsidR="00F1797B" w:rsidRDefault="00544F49">
            <w:r>
              <w:t>1</w:t>
            </w:r>
          </w:p>
        </w:tc>
        <w:tc>
          <w:tcPr>
            <w:tcW w:w="4143" w:type="dxa"/>
          </w:tcPr>
          <w:p w:rsidR="00F1797B" w:rsidRDefault="00544F49">
            <w:r>
              <w:t>Цвет покрытия</w:t>
            </w:r>
          </w:p>
        </w:tc>
        <w:tc>
          <w:tcPr>
            <w:tcW w:w="4672" w:type="dxa"/>
          </w:tcPr>
          <w:p w:rsidR="00F1797B" w:rsidRDefault="00544F49">
            <w:r>
              <w:t xml:space="preserve">Цвет </w:t>
            </w:r>
            <w:proofErr w:type="spellStart"/>
            <w:r>
              <w:t>окрашеной</w:t>
            </w:r>
            <w:proofErr w:type="spellEnd"/>
            <w:r>
              <w:t xml:space="preserve"> поверхности материала должен быть согласован с Заказчиком в установленном порядке с изготовлением контрольного образца цвета. Маркировка должна полностью совпадать с маркировкой </w:t>
            </w:r>
            <w:proofErr w:type="spellStart"/>
            <w:r>
              <w:t>указаной</w:t>
            </w:r>
            <w:proofErr w:type="spellEnd"/>
            <w:r>
              <w:t xml:space="preserve"> в договоре. </w:t>
            </w:r>
          </w:p>
        </w:tc>
      </w:tr>
      <w:tr w:rsidR="00F1797B">
        <w:tc>
          <w:tcPr>
            <w:tcW w:w="530" w:type="dxa"/>
          </w:tcPr>
          <w:p w:rsidR="00F1797B" w:rsidRDefault="00544F49">
            <w:r>
              <w:t>2</w:t>
            </w:r>
          </w:p>
        </w:tc>
        <w:tc>
          <w:tcPr>
            <w:tcW w:w="4143" w:type="dxa"/>
          </w:tcPr>
          <w:p w:rsidR="00F1797B" w:rsidRDefault="00544F49">
            <w:r>
              <w:t>Трещины на ЛКП</w:t>
            </w:r>
          </w:p>
        </w:tc>
        <w:tc>
          <w:tcPr>
            <w:tcW w:w="4672" w:type="dxa"/>
          </w:tcPr>
          <w:p w:rsidR="00F1797B" w:rsidRDefault="00544F49">
            <w:r>
              <w:t>Допускаются в районе нахождения сучков</w:t>
            </w:r>
          </w:p>
        </w:tc>
      </w:tr>
      <w:tr w:rsidR="00F1797B">
        <w:tc>
          <w:tcPr>
            <w:tcW w:w="530" w:type="dxa"/>
          </w:tcPr>
          <w:p w:rsidR="00F1797B" w:rsidRDefault="00544F49">
            <w:r>
              <w:t>3</w:t>
            </w:r>
          </w:p>
        </w:tc>
        <w:tc>
          <w:tcPr>
            <w:tcW w:w="4143" w:type="dxa"/>
          </w:tcPr>
          <w:p w:rsidR="00F1797B" w:rsidRDefault="00544F49">
            <w:r>
              <w:t>Пузыр</w:t>
            </w:r>
            <w:proofErr w:type="gramStart"/>
            <w:r>
              <w:t>и(</w:t>
            </w:r>
            <w:proofErr w:type="gramEnd"/>
            <w:r>
              <w:t>в том числе проколы)</w:t>
            </w:r>
          </w:p>
        </w:tc>
        <w:tc>
          <w:tcPr>
            <w:tcW w:w="4672" w:type="dxa"/>
          </w:tcPr>
          <w:p w:rsidR="00F1797B" w:rsidRDefault="00544F49">
            <w:r>
              <w:t>Не допускаются</w:t>
            </w:r>
          </w:p>
        </w:tc>
      </w:tr>
      <w:tr w:rsidR="00F1797B">
        <w:tc>
          <w:tcPr>
            <w:tcW w:w="530" w:type="dxa"/>
          </w:tcPr>
          <w:p w:rsidR="00F1797B" w:rsidRDefault="00544F49">
            <w:r>
              <w:t>4</w:t>
            </w:r>
          </w:p>
        </w:tc>
        <w:tc>
          <w:tcPr>
            <w:tcW w:w="4143" w:type="dxa"/>
          </w:tcPr>
          <w:p w:rsidR="00F1797B" w:rsidRDefault="00544F49">
            <w:r>
              <w:t>Включения(мусор)</w:t>
            </w:r>
          </w:p>
        </w:tc>
        <w:tc>
          <w:tcPr>
            <w:tcW w:w="4672" w:type="dxa"/>
          </w:tcPr>
          <w:p w:rsidR="00F1797B" w:rsidRDefault="00544F49">
            <w:r>
              <w:t>Не допускаются</w:t>
            </w:r>
          </w:p>
        </w:tc>
      </w:tr>
      <w:tr w:rsidR="00F1797B">
        <w:tc>
          <w:tcPr>
            <w:tcW w:w="530" w:type="dxa"/>
          </w:tcPr>
          <w:p w:rsidR="00F1797B" w:rsidRDefault="00544F49">
            <w:r>
              <w:t>5</w:t>
            </w:r>
          </w:p>
        </w:tc>
        <w:tc>
          <w:tcPr>
            <w:tcW w:w="4143" w:type="dxa"/>
          </w:tcPr>
          <w:p w:rsidR="00F1797B" w:rsidRDefault="00544F49">
            <w:r>
              <w:t>Царапины шириной меньше 0,5мм и глубиной не более толщины ЛКП</w:t>
            </w:r>
          </w:p>
        </w:tc>
        <w:tc>
          <w:tcPr>
            <w:tcW w:w="4672" w:type="dxa"/>
          </w:tcPr>
          <w:p w:rsidR="00F1797B" w:rsidRDefault="00544F49">
            <w:r>
              <w:t>Допускаются</w:t>
            </w:r>
          </w:p>
        </w:tc>
      </w:tr>
      <w:tr w:rsidR="00F1797B">
        <w:tc>
          <w:tcPr>
            <w:tcW w:w="530" w:type="dxa"/>
          </w:tcPr>
          <w:p w:rsidR="00F1797B" w:rsidRDefault="00544F49">
            <w:r>
              <w:t>6</w:t>
            </w:r>
          </w:p>
        </w:tc>
        <w:tc>
          <w:tcPr>
            <w:tcW w:w="4143" w:type="dxa"/>
          </w:tcPr>
          <w:p w:rsidR="00F1797B" w:rsidRDefault="00544F49">
            <w:r>
              <w:t>Пропуски лакокрасочного материала или просвечивание нижележащего слоя на укрывной схеме покраски</w:t>
            </w:r>
          </w:p>
        </w:tc>
        <w:tc>
          <w:tcPr>
            <w:tcW w:w="4672" w:type="dxa"/>
          </w:tcPr>
          <w:p w:rsidR="00F1797B" w:rsidRDefault="00544F49">
            <w:r>
              <w:t>Не допускается</w:t>
            </w:r>
          </w:p>
        </w:tc>
      </w:tr>
      <w:tr w:rsidR="00F1797B">
        <w:tc>
          <w:tcPr>
            <w:tcW w:w="530" w:type="dxa"/>
          </w:tcPr>
          <w:p w:rsidR="00F1797B" w:rsidRDefault="00544F49">
            <w:r>
              <w:t>7</w:t>
            </w:r>
          </w:p>
        </w:tc>
        <w:tc>
          <w:tcPr>
            <w:tcW w:w="4143" w:type="dxa"/>
          </w:tcPr>
          <w:p w:rsidR="00F1797B" w:rsidRDefault="00544F49">
            <w:r>
              <w:t>Потеки, наплывы ЛКМ</w:t>
            </w:r>
          </w:p>
        </w:tc>
        <w:tc>
          <w:tcPr>
            <w:tcW w:w="4672" w:type="dxa"/>
          </w:tcPr>
          <w:p w:rsidR="00F1797B" w:rsidRDefault="00544F49">
            <w:r>
              <w:t>Не допускаются</w:t>
            </w:r>
          </w:p>
        </w:tc>
      </w:tr>
      <w:tr w:rsidR="00F1797B">
        <w:tc>
          <w:tcPr>
            <w:tcW w:w="530" w:type="dxa"/>
          </w:tcPr>
          <w:p w:rsidR="00F1797B" w:rsidRDefault="00544F49">
            <w:r>
              <w:t>8</w:t>
            </w:r>
          </w:p>
        </w:tc>
        <w:tc>
          <w:tcPr>
            <w:tcW w:w="4143" w:type="dxa"/>
          </w:tcPr>
          <w:p w:rsidR="00F1797B" w:rsidRDefault="00544F49">
            <w:r>
              <w:t>Поднятие ворса</w:t>
            </w:r>
          </w:p>
        </w:tc>
        <w:tc>
          <w:tcPr>
            <w:tcW w:w="4672" w:type="dxa"/>
          </w:tcPr>
          <w:p w:rsidR="00F1797B" w:rsidRDefault="00544F49">
            <w:r>
              <w:t>Допускается в районе нахождения сучков</w:t>
            </w:r>
          </w:p>
        </w:tc>
      </w:tr>
      <w:tr w:rsidR="00F1797B">
        <w:tc>
          <w:tcPr>
            <w:tcW w:w="530" w:type="dxa"/>
          </w:tcPr>
          <w:p w:rsidR="00F1797B" w:rsidRDefault="00544F49">
            <w:r>
              <w:t>9</w:t>
            </w:r>
          </w:p>
        </w:tc>
        <w:tc>
          <w:tcPr>
            <w:tcW w:w="4143" w:type="dxa"/>
          </w:tcPr>
          <w:p w:rsidR="00F1797B" w:rsidRDefault="00544F49">
            <w:r>
              <w:t>Не равномерность матовости или глянца</w:t>
            </w:r>
          </w:p>
        </w:tc>
        <w:tc>
          <w:tcPr>
            <w:tcW w:w="4672" w:type="dxa"/>
          </w:tcPr>
          <w:p w:rsidR="00F1797B" w:rsidRDefault="00544F49">
            <w:r>
              <w:t>Допускается из-за поднятия ворса в районе сучков</w:t>
            </w:r>
          </w:p>
        </w:tc>
      </w:tr>
      <w:tr w:rsidR="00F1797B">
        <w:tc>
          <w:tcPr>
            <w:tcW w:w="530" w:type="dxa"/>
          </w:tcPr>
          <w:p w:rsidR="00F1797B" w:rsidRDefault="00544F49">
            <w:r>
              <w:t>10</w:t>
            </w:r>
          </w:p>
        </w:tc>
        <w:tc>
          <w:tcPr>
            <w:tcW w:w="4143" w:type="dxa"/>
          </w:tcPr>
          <w:p w:rsidR="00F1797B" w:rsidRDefault="00544F49">
            <w:proofErr w:type="spellStart"/>
            <w:r>
              <w:t>Разнооттеночность</w:t>
            </w:r>
            <w:proofErr w:type="spellEnd"/>
          </w:p>
        </w:tc>
        <w:tc>
          <w:tcPr>
            <w:tcW w:w="4672" w:type="dxa"/>
          </w:tcPr>
          <w:p w:rsidR="00F1797B" w:rsidRDefault="00544F49">
            <w:r>
              <w:t xml:space="preserve">Допускается при использовании не укрывных красок и лаков, в связи с тем, что древесный материал имеет не однородную природную окраску, особенности строения и химического состава древесины, а также разная шероховатость на радиальном и </w:t>
            </w:r>
            <w:proofErr w:type="spellStart"/>
            <w:r>
              <w:t>тангенсальном</w:t>
            </w:r>
            <w:proofErr w:type="spellEnd"/>
            <w:r>
              <w:t xml:space="preserve"> разрезе приводит к не равномерной </w:t>
            </w:r>
            <w:proofErr w:type="spellStart"/>
            <w:r>
              <w:t>впитываемости</w:t>
            </w:r>
            <w:proofErr w:type="spellEnd"/>
            <w:r>
              <w:t xml:space="preserve"> древесины.</w:t>
            </w:r>
          </w:p>
        </w:tc>
      </w:tr>
      <w:tr w:rsidR="00F1797B">
        <w:tc>
          <w:tcPr>
            <w:tcW w:w="530" w:type="dxa"/>
          </w:tcPr>
          <w:p w:rsidR="00F1797B" w:rsidRDefault="00544F49">
            <w:r>
              <w:t>11</w:t>
            </w:r>
          </w:p>
        </w:tc>
        <w:tc>
          <w:tcPr>
            <w:tcW w:w="4143" w:type="dxa"/>
          </w:tcPr>
          <w:p w:rsidR="00F1797B" w:rsidRDefault="00544F49">
            <w:r>
              <w:t>Образование пятен, выделение смолы</w:t>
            </w:r>
          </w:p>
        </w:tc>
        <w:tc>
          <w:tcPr>
            <w:tcW w:w="4672" w:type="dxa"/>
          </w:tcPr>
          <w:p w:rsidR="00F1797B" w:rsidRDefault="00544F49">
            <w:r>
              <w:t xml:space="preserve">Допускаются в связи с естественными </w:t>
            </w:r>
            <w:proofErr w:type="gramStart"/>
            <w:r>
              <w:t>процессами</w:t>
            </w:r>
            <w:proofErr w:type="gramEnd"/>
            <w:r>
              <w:t xml:space="preserve"> происходящими в древесине.</w:t>
            </w:r>
          </w:p>
        </w:tc>
      </w:tr>
      <w:tr w:rsidR="00F1797B">
        <w:tc>
          <w:tcPr>
            <w:tcW w:w="530" w:type="dxa"/>
          </w:tcPr>
          <w:p w:rsidR="00F1797B" w:rsidRDefault="00544F49">
            <w:r>
              <w:t>12</w:t>
            </w:r>
          </w:p>
        </w:tc>
        <w:tc>
          <w:tcPr>
            <w:tcW w:w="4143" w:type="dxa"/>
          </w:tcPr>
          <w:p w:rsidR="00F1797B" w:rsidRDefault="00544F49">
            <w:r>
              <w:t>Толщина слоя ЛКП</w:t>
            </w:r>
          </w:p>
        </w:tc>
        <w:tc>
          <w:tcPr>
            <w:tcW w:w="4672" w:type="dxa"/>
          </w:tcPr>
          <w:p w:rsidR="00F1797B" w:rsidRDefault="00544F49">
            <w:r>
              <w:t>В зависимости от выбранной схеме покраски:</w:t>
            </w:r>
          </w:p>
          <w:p w:rsidR="00F1797B" w:rsidRDefault="00544F49">
            <w:r>
              <w:t xml:space="preserve">  Тонкослойная – не нормируется</w:t>
            </w:r>
          </w:p>
          <w:p w:rsidR="00F1797B" w:rsidRDefault="00544F49">
            <w:r>
              <w:t xml:space="preserve">  </w:t>
            </w:r>
            <w:proofErr w:type="gramStart"/>
            <w:r>
              <w:t>Толстослойная</w:t>
            </w:r>
            <w:proofErr w:type="gramEnd"/>
            <w:r>
              <w:t xml:space="preserve">  - 270-300 микрон мокрого слоя.</w:t>
            </w:r>
          </w:p>
        </w:tc>
      </w:tr>
    </w:tbl>
    <w:p w:rsidR="00F1797B" w:rsidRDefault="00F1797B"/>
    <w:p w:rsidR="00F1797B" w:rsidRDefault="007D64E6" w:rsidP="007D64E6">
      <w:pPr>
        <w:jc w:val="center"/>
      </w:pPr>
      <w:r>
        <w:rPr>
          <w:noProof/>
        </w:rPr>
        <w:drawing>
          <wp:inline distT="0" distB="0" distL="0" distR="0">
            <wp:extent cx="3333750" cy="2095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za.ru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797B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97B"/>
    <w:rsid w:val="00544F49"/>
    <w:rsid w:val="007D64E6"/>
    <w:rsid w:val="00F1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D6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64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D6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64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Geno</cp:lastModifiedBy>
  <cp:revision>3</cp:revision>
  <dcterms:created xsi:type="dcterms:W3CDTF">2024-09-26T05:17:00Z</dcterms:created>
  <dcterms:modified xsi:type="dcterms:W3CDTF">2025-02-03T12:27:00Z</dcterms:modified>
</cp:coreProperties>
</file>