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Borders>
          <w:insideH w:sz="18" w:themeColor="text2" w:val="single"/>
        </w:tblBorders>
        <w:tblLayout w:type="fixed"/>
      </w:tblPr>
      <w:tblGrid>
        <w:gridCol w:w="2363"/>
        <w:gridCol w:w="6992"/>
      </w:tblGrid>
      <w:tr>
        <w:trPr>
          <w:trHeight w:hRule="atLeast" w:val="2604"/>
        </w:trPr>
        <w:tc>
          <w:tcPr>
            <w:tcW w:type="dxa" w:w="9355"/>
            <w:gridSpan w:val="2"/>
            <w:tcBorders>
              <w:bottom w:color="000000" w:sz="4" w:val="single"/>
            </w:tcBorders>
            <w:vAlign w:val="bottom"/>
          </w:tcPr>
          <w:p w14:paraId="06000000">
            <w:pPr>
              <w:pStyle w:val="Style_4"/>
              <w:tabs>
                <w:tab w:leader="none" w:pos="5130" w:val="left"/>
              </w:tabs>
              <w:spacing w:before="0" w:line="240" w:lineRule="auto"/>
              <w:ind w:firstLine="0" w:left="0" w:right="85"/>
              <w:jc w:val="center"/>
            </w:pPr>
            <w:r>
              <w:rPr>
                <w:rFonts w:ascii="Arial" w:hAnsi="Arial"/>
                <w:b w:val="1"/>
                <w:sz w:val="32"/>
              </w:rPr>
              <w:t>Техническое задание</w:t>
            </w:r>
          </w:p>
        </w:tc>
      </w:tr>
      <w:tr>
        <w:trPr>
          <w:trHeight w:hRule="atLeast" w:val="35"/>
        </w:trPr>
        <w:tc>
          <w:tcPr>
            <w:tcW w:type="dxa" w:w="2363"/>
            <w:tcBorders>
              <w:top w:color="000000" w:sz="4" w:val="single"/>
              <w:bottom w:sz="4" w:val="nil"/>
            </w:tcBorders>
          </w:tcPr>
          <w:p w14:paraId="07000000">
            <w:pPr>
              <w:pStyle w:val="Style_5"/>
              <w:spacing w:after="120" w:before="120"/>
              <w:ind/>
              <w:jc w:val="right"/>
              <w:rPr>
                <w:rFonts w:asciiTheme="minorAscii" w:hAnsiTheme="minorHAnsi"/>
                <w:sz w:val="24"/>
              </w:rPr>
            </w:pPr>
            <w:r>
              <w:rPr>
                <w:sz w:val="24"/>
              </w:rPr>
              <w:t>Дата изменения</w:t>
            </w:r>
          </w:p>
        </w:tc>
        <w:tc>
          <w:tcPr>
            <w:tcW w:type="dxa" w:w="6992"/>
            <w:tcBorders>
              <w:top w:color="000000" w:sz="4" w:val="single"/>
              <w:bottom w:sz="4" w:val="nil"/>
            </w:tcBorders>
          </w:tcPr>
          <w:p w14:paraId="08000000">
            <w:pPr>
              <w:pStyle w:val="Style_5"/>
              <w:spacing w:after="120" w:before="120"/>
              <w:ind/>
              <w:jc w:val="left"/>
              <w:rPr>
                <w:rFonts w:asciiTheme="minorAscii" w:hAnsiTheme="minorHAnsi"/>
                <w:sz w:val="24"/>
              </w:rPr>
            </w:pPr>
            <w:r>
              <w:rPr>
                <w:sz w:val="24"/>
                <w:highlight w:val="cyan"/>
              </w:rPr>
              <w:t>ХХ.ХХ.ХХ</w:t>
            </w:r>
          </w:p>
        </w:tc>
      </w:tr>
      <w:tr>
        <w:trPr>
          <w:trHeight w:hRule="atLeast" w:val="80"/>
        </w:trPr>
        <w:tc>
          <w:tcPr>
            <w:tcW w:type="dxa" w:w="2363"/>
            <w:tcBorders>
              <w:top w:sz="4" w:val="nil"/>
              <w:bottom w:sz="4" w:val="nil"/>
            </w:tcBorders>
          </w:tcPr>
          <w:p w14:paraId="09000000">
            <w:pPr>
              <w:pStyle w:val="Style_5"/>
              <w:spacing w:after="120" w:before="12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Версия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6992"/>
            <w:tcBorders>
              <w:top w:sz="4" w:val="nil"/>
              <w:bottom w:sz="4" w:val="nil"/>
            </w:tcBorders>
          </w:tcPr>
          <w:p w14:paraId="0A000000">
            <w:pPr>
              <w:pStyle w:val="Style_5"/>
              <w:spacing w:after="120" w:before="120"/>
              <w:ind/>
              <w:jc w:val="left"/>
              <w:rPr>
                <w:sz w:val="24"/>
              </w:rPr>
            </w:pPr>
            <w:r>
              <w:rPr>
                <w:sz w:val="24"/>
                <w:highlight w:val="cyan"/>
              </w:rPr>
              <w:t>ХХ</w:t>
            </w:r>
          </w:p>
        </w:tc>
      </w:tr>
      <w:tr>
        <w:trPr>
          <w:trHeight w:hRule="atLeast" w:val="80"/>
        </w:trPr>
        <w:tc>
          <w:tcPr>
            <w:tcW w:type="dxa" w:w="2363"/>
            <w:tcBorders>
              <w:top w:sz="4" w:val="nil"/>
              <w:bottom w:sz="4" w:val="nil"/>
            </w:tcBorders>
          </w:tcPr>
          <w:p w14:paraId="0B000000">
            <w:pPr>
              <w:pStyle w:val="Style_5"/>
              <w:spacing w:after="120" w:before="12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type="dxa" w:w="6992"/>
            <w:tcBorders>
              <w:top w:sz="4" w:val="nil"/>
              <w:bottom w:sz="4" w:val="nil"/>
            </w:tcBorders>
          </w:tcPr>
          <w:p w14:paraId="0C000000">
            <w:pPr>
              <w:pStyle w:val="Style_5"/>
              <w:spacing w:after="120" w:before="120"/>
              <w:ind/>
              <w:jc w:val="left"/>
              <w:rPr>
                <w:sz w:val="24"/>
                <w:highlight w:val="cyan"/>
              </w:rPr>
            </w:pPr>
            <w:r>
              <w:rPr>
                <w:sz w:val="24"/>
                <w:highlight w:val="cyan"/>
              </w:rPr>
              <w:t>x</w:t>
            </w:r>
          </w:p>
        </w:tc>
      </w:tr>
    </w:tbl>
    <w:p w14:paraId="0D000000"/>
    <w:p w14:paraId="0E000000">
      <w:pPr>
        <w:sectPr>
          <w:footerReference r:id="rId3" w:type="default"/>
          <w:pgSz w:h="16840" w:orient="portrait" w:w="11907"/>
          <w:pgMar w:bottom="1134" w:footer="720" w:gutter="0" w:header="720" w:left="1701" w:right="851" w:top="1134"/>
        </w:sectPr>
      </w:pPr>
    </w:p>
    <w:p w14:paraId="0F000000">
      <w:pPr>
        <w:rPr>
          <w:b w:val="1"/>
          <w:caps w:val="1"/>
          <w:sz w:val="24"/>
        </w:rPr>
      </w:pPr>
      <w:r>
        <w:rPr>
          <w:b w:val="1"/>
          <w:caps w:val="1"/>
          <w:sz w:val="24"/>
        </w:rPr>
        <w:t>Оглавление</w:t>
      </w:r>
    </w:p>
    <w:p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 xml:space="preserve">TOC \h \z \u \o "1-2"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    Глоссарий</w:t>
      </w:r>
      <w:r>
        <w:tab/>
      </w:r>
      <w:r>
        <w:fldChar w:dirty="1"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1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2.    Цели и концепция Решения</w:t>
      </w:r>
      <w:r>
        <w:tab/>
      </w:r>
      <w:r>
        <w:fldChar w:dirty="1" w:fldCharType="begin"/>
      </w:r>
      <w:r>
        <w:instrText>PAGEREF __RefHeading___2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3.    БИЗНЕС-ТРЕБОВАНИЯ</w:t>
      </w:r>
      <w:r>
        <w:tab/>
      </w:r>
      <w:r>
        <w:fldChar w:dirty="1" w:fldCharType="begin"/>
      </w:r>
      <w:r>
        <w:instrText>PAGEREF __RefHeading___3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4.    Функциональные требования</w:t>
      </w:r>
      <w:r>
        <w:tab/>
      </w:r>
      <w:r>
        <w:fldChar w:dirty="1" w:fldCharType="begin"/>
      </w:r>
      <w:r>
        <w:instrText>PAGEREF __RefHeading___4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4.1.    Описание ролей Решения</w:t>
      </w:r>
      <w:r>
        <w:tab/>
      </w:r>
      <w:r>
        <w:fldChar w:dirty="1" w:fldCharType="begin"/>
      </w:r>
      <w:r>
        <w:instrText>PAGEREF __RefHeading___5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4.2.    Регистрация и авторизация</w:t>
      </w:r>
      <w:r>
        <w:tab/>
      </w:r>
      <w:r>
        <w:fldChar w:dirty="1" w:fldCharType="begin"/>
      </w:r>
      <w:r>
        <w:instrText>PAGEREF __RefHeading___6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4.3.    Описание ключевых функций Решения</w:t>
      </w:r>
      <w:r>
        <w:tab/>
      </w:r>
      <w:r>
        <w:fldChar w:dirty="1" w:fldCharType="begin"/>
      </w:r>
      <w:r>
        <w:instrText>PAGEREF __RefHeading___7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4.4.    Описание клиентских путей</w:t>
      </w:r>
      <w:r>
        <w:tab/>
      </w:r>
      <w:r>
        <w:fldChar w:dirty="1" w:fldCharType="begin"/>
      </w:r>
      <w:r>
        <w:instrText>PAGEREF __RefHeading___8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4.5.    Требования к отчетности</w:t>
      </w:r>
      <w:r>
        <w:tab/>
      </w:r>
      <w:r>
        <w:fldChar w:dirty="1" w:fldCharType="begin"/>
      </w:r>
      <w:r>
        <w:instrText>PAGEREF __RefHeading___9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5.    Нефункциональные требования</w:t>
      </w:r>
      <w:r>
        <w:tab/>
      </w:r>
      <w:r>
        <w:fldChar w:dirty="1" w:fldCharType="begin"/>
      </w:r>
      <w:r>
        <w:instrText>PAGEREF __RefHeading___10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5.1.    Требования к производительности (быстродействия) Решения</w:t>
      </w:r>
      <w:r>
        <w:tab/>
      </w:r>
      <w:r>
        <w:fldChar w:dirty="1" w:fldCharType="begin"/>
      </w:r>
      <w:r>
        <w:instrText>PAGEREF __RefHeading___11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5.2.    Ограничения по потреблению Решения</w:t>
      </w:r>
      <w:r>
        <w:tab/>
      </w:r>
      <w:r>
        <w:fldChar w:dirty="1" w:fldCharType="begin"/>
      </w:r>
      <w:r>
        <w:instrText>PAGEREF __RefHeading___12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5.3.    Требования доступности и надежности</w:t>
      </w:r>
      <w:r>
        <w:tab/>
      </w:r>
      <w:r>
        <w:fldChar w:dirty="1" w:fldCharType="begin"/>
      </w:r>
      <w:r>
        <w:instrText>PAGEREF __RefHeading___13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5.4.    Регламенты и стандарты</w:t>
      </w:r>
      <w:r>
        <w:tab/>
      </w:r>
      <w:r>
        <w:fldChar w:dirty="1" w:fldCharType="begin"/>
      </w:r>
      <w:r>
        <w:instrText>PAGEREF __RefHeading___14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000000">
      <w:pPr>
        <w:pStyle w:val="Style_7"/>
        <w:tabs>
          <w:tab w:leader="dot" w:pos="9355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5.5.    Прочие нефункциональные требования</w:t>
      </w:r>
      <w:r>
        <w:tab/>
      </w:r>
      <w:r>
        <w:fldChar w:dirty="1" w:fldCharType="begin"/>
      </w:r>
      <w:r>
        <w:instrText>PAGEREF __RefHeading___15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6.    Требования к пользовательскому интерфейсу</w:t>
      </w:r>
      <w:r>
        <w:tab/>
      </w:r>
      <w:r>
        <w:fldChar w:dirty="1" w:fldCharType="begin"/>
      </w:r>
      <w:r>
        <w:instrText>PAGEREF __RefHeading___16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7.    Требования к внешним интерфейсам</w:t>
      </w:r>
      <w:r>
        <w:tab/>
      </w:r>
      <w:r>
        <w:fldChar w:dirty="1" w:fldCharType="begin"/>
      </w:r>
      <w:r>
        <w:instrText>PAGEREF __RefHeading___17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"__RefHeading___18"</w:instrText>
      </w:r>
      <w:r>
        <w:fldChar w:fldCharType="separate"/>
      </w:r>
      <w:r>
        <w:t>8.    Требования к информационной безопасности</w:t>
      </w:r>
      <w:r>
        <w:tab/>
      </w:r>
      <w:r>
        <w:fldChar w:dirty="1" w:fldCharType="begin"/>
      </w:r>
      <w:r>
        <w:instrText>PAGEREF __RefHeading___18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000000">
      <w:pPr>
        <w:pStyle w:val="Style_6"/>
        <w:tabs>
          <w:tab w:leader="none" w:pos="426" w:val="clear"/>
          <w:tab w:leader="none" w:pos="9346" w:val="clear"/>
          <w:tab w:leader="dot" w:pos="9355" w:val="right"/>
        </w:tabs>
        <w:ind/>
      </w:pPr>
      <w:r>
        <w:fldChar w:fldCharType="begin"/>
      </w:r>
      <w:r>
        <w:instrText>HYPERLINK \l "__RefHeading___20"</w:instrText>
      </w:r>
      <w:r>
        <w:fldChar w:fldCharType="separate"/>
      </w:r>
      <w:r>
        <w:t>Чтобы составить грамотное ТЗ и ничего не упустить, пройдите мини курс по ссылке https://stepik.org/a/271087</w:t>
      </w:r>
      <w:r>
        <w:tab/>
      </w:r>
      <w:r>
        <w:fldChar w:dirty="1" w:fldCharType="begin"/>
      </w:r>
      <w:r>
        <w:instrText>PAGEREF __RefHeading___20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 w14:paraId="24000000">
      <w:pPr>
        <w:spacing w:after="0"/>
        <w:ind/>
      </w:pPr>
      <w:r>
        <w:br w:type="page"/>
      </w:r>
    </w:p>
    <w:p w14:paraId="25000000"/>
    <w:p w14:paraId="26000000">
      <w:bookmarkStart w:id="1" w:name="__RefHeading___1"/>
      <w:bookmarkEnd w:id="1"/>
      <w:pPr>
        <w:pStyle w:val="Style_8"/>
      </w:pPr>
      <w:r>
        <w:t>Глоссарий</w:t>
      </w:r>
    </w:p>
    <w:p w14:paraId="27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Включить только термины и сокращения, используемые в документе. Ниже приведены примеры.</w:t>
      </w:r>
    </w:p>
    <w:p w14:paraId="28000000">
      <w:pPr>
        <w:pStyle w:val="Style_9"/>
      </w:pPr>
      <w:r>
        <w:t>Термины и сокращения приведены в Таблицах 1 и 2 настоящего документа.</w:t>
      </w:r>
    </w:p>
    <w:p w14:paraId="29000000">
      <w:pPr>
        <w:pStyle w:val="Style_10"/>
      </w:pPr>
      <w:bookmarkStart w:id="2" w:name="_Ref532486175"/>
      <w:r>
        <w:t xml:space="preserve">Таблица </w:t>
      </w:r>
      <w:r>
        <w:t>1</w:t>
      </w:r>
      <w:bookmarkEnd w:id="2"/>
      <w:r>
        <w:t>. Термины</w:t>
      </w:r>
    </w:p>
    <w:tbl>
      <w:tblPr>
        <w:tblStyle w:val="Style_3"/>
        <w:tblLayout w:type="fixed"/>
      </w:tblPr>
      <w:tblGrid>
        <w:gridCol w:w="522"/>
        <w:gridCol w:w="2354"/>
        <w:gridCol w:w="6479"/>
      </w:tblGrid>
      <w:tr>
        <w:trPr>
          <w:trHeight w:hRule="atLeast" w:val="300"/>
          <w:tblHeader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Термин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Значение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pStyle w:val="Style_11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RPO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ромежуток времени, предшествующий моменту возникновения сбоя, за который допускается потеря д</w:t>
            </w:r>
            <w:r>
              <w:rPr>
                <w:color w:val="000000"/>
              </w:rPr>
              <w:t>анных (глубина хранения данных)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11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RTO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ромежуток времени, в течение которого </w:t>
            </w:r>
            <w:r>
              <w:rPr>
                <w:color w:val="000000"/>
              </w:rPr>
              <w:t>допускается недоступность системы</w:t>
            </w:r>
            <w:r>
              <w:rPr>
                <w:color w:val="000000"/>
              </w:rPr>
              <w:t xml:space="preserve"> в случае аварии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11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Use Case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пецификация последовательностей действий (варианты последовательностей и ошибочные последовательности), которые может осуществлять система, подсистема или класс, взаимодействуя с внешними действующими лицами</w:t>
            </w:r>
          </w:p>
        </w:tc>
      </w:tr>
    </w:tbl>
    <w:p w14:paraId="36000000">
      <w:pPr>
        <w:pStyle w:val="Style_10"/>
        <w:spacing w:before="240"/>
        <w:ind/>
      </w:pPr>
      <w:bookmarkStart w:id="3" w:name="_Ref4149635"/>
      <w:r>
        <w:t xml:space="preserve">Таблица </w:t>
      </w:r>
      <w:r>
        <w:t>2</w:t>
      </w:r>
      <w:bookmarkEnd w:id="3"/>
      <w:r>
        <w:t>. Сокращения</w:t>
      </w:r>
    </w:p>
    <w:tbl>
      <w:tblPr>
        <w:tblStyle w:val="Style_3"/>
        <w:tblLayout w:type="fixed"/>
      </w:tblPr>
      <w:tblGrid>
        <w:gridCol w:w="522"/>
        <w:gridCol w:w="2354"/>
        <w:gridCol w:w="6479"/>
      </w:tblGrid>
      <w:tr>
        <w:trPr>
          <w:trHeight w:hRule="atLeast" w:val="300"/>
          <w:tblHeader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</w:t>
            </w:r>
            <w:r>
              <w:rPr>
                <w:b w:val="1"/>
                <w:color w:val="000000"/>
              </w:rPr>
              <w:t>окращение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spacing w:before="12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Значение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pStyle w:val="Style_11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ИС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Информационная система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11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ФО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Функциональная область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pStyle w:val="Style_11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RPO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Recovery point objective</w:t>
            </w:r>
          </w:p>
        </w:tc>
      </w:tr>
      <w:tr>
        <w:trPr>
          <w:trHeight w:hRule="atLeast" w:val="300"/>
        </w:trPr>
        <w:tc>
          <w:tcPr>
            <w:tcW w:type="dxa" w:w="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pStyle w:val="Style_11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type="dxa" w:w="2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RTO</w:t>
            </w:r>
          </w:p>
        </w:tc>
        <w:tc>
          <w:tcPr>
            <w:tcW w:type="dxa" w:w="647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Recovery time objective</w:t>
            </w:r>
          </w:p>
        </w:tc>
      </w:tr>
    </w:tbl>
    <w:p w14:paraId="46000000">
      <w:pPr>
        <w:spacing w:after="160" w:line="264" w:lineRule="auto"/>
        <w:ind/>
        <w:rPr>
          <w:b w:val="1"/>
          <w:caps w:val="1"/>
          <w:sz w:val="24"/>
          <w:highlight w:val="lightGray"/>
        </w:rPr>
      </w:pPr>
      <w:bookmarkStart w:id="4" w:name="_GoBack"/>
      <w:bookmarkEnd w:id="4"/>
    </w:p>
    <w:p w14:paraId="47000000">
      <w:bookmarkStart w:id="5" w:name="__RefHeading___2"/>
      <w:bookmarkEnd w:id="5"/>
      <w:pPr>
        <w:pStyle w:val="Style_8"/>
      </w:pPr>
      <w:r>
        <w:t>Цели и концепция Решения</w:t>
      </w:r>
    </w:p>
    <w:p w14:paraId="48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Описание предпосылок и целей для запуска решения, например, цели стратегии, цели бизнес-плана, действия конкурентов, тестирование гипотезы и т.д.</w:t>
      </w:r>
    </w:p>
    <w:p w14:paraId="49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Описание существующих ограничений решения, </w:t>
      </w:r>
      <w:r>
        <w:rPr>
          <w:i w:val="1"/>
          <w:shd w:fill="FFD821" w:val="clear"/>
        </w:rPr>
        <w:t>например,:</w:t>
      </w:r>
      <w:r>
        <w:rPr>
          <w:i w:val="1"/>
          <w:shd w:fill="FFD821" w:val="clear"/>
        </w:rPr>
        <w:t xml:space="preserve"> бюджет, сроки, продуктовый периметр, периметр возможных действий (напр., «без изменения процентных ставок»)</w:t>
      </w:r>
    </w:p>
    <w:p w14:paraId="4A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Перечисление бизнес-целей решения (в формате КПЭ – количественная цель – срок)</w:t>
      </w:r>
      <w:r>
        <w:rPr>
          <w:i w:val="1"/>
          <w:shd w:fill="FFD821" w:val="clear"/>
        </w:rPr>
        <w:t>.</w:t>
      </w:r>
    </w:p>
    <w:p w14:paraId="4B000000">
      <w:bookmarkStart w:id="6" w:name="__RefHeading___3"/>
      <w:bookmarkEnd w:id="6"/>
      <w:pPr>
        <w:pStyle w:val="Style_8"/>
      </w:pPr>
      <w:r>
        <w:t>БИЗНЕС-ТРЕБОВАНИЯ</w:t>
      </w:r>
      <w:r>
        <w:t xml:space="preserve"> </w:t>
      </w:r>
    </w:p>
    <w:p w14:paraId="4C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Простые требования (в формате контрольного списка), которые должны быть соблюдены, чтобы Решение было оце</w:t>
      </w:r>
      <w:r>
        <w:rPr>
          <w:i w:val="1"/>
          <w:shd w:fill="FFD821" w:val="clear"/>
        </w:rPr>
        <w:t>нено как успешно реализованное с точки зрения бизнес-заказчика.</w:t>
      </w:r>
    </w:p>
    <w:p w14:paraId="4D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Опишите зачем и для чего заказчику требуется Решение, и что для него является критериями приемки.</w:t>
      </w:r>
    </w:p>
    <w:p w14:paraId="4E000000">
      <w:bookmarkStart w:id="7" w:name="__RefHeading___4"/>
      <w:bookmarkEnd w:id="7"/>
      <w:pPr>
        <w:pStyle w:val="Style_8"/>
      </w:pPr>
      <w:r>
        <w:t>Функциональные требования</w:t>
      </w:r>
    </w:p>
    <w:p w14:paraId="4F000000">
      <w:bookmarkStart w:id="8" w:name="__RefHeading___5"/>
      <w:bookmarkEnd w:id="8"/>
      <w:pPr>
        <w:pStyle w:val="Style_12"/>
      </w:pPr>
      <w:r>
        <w:t xml:space="preserve">Описание </w:t>
      </w:r>
      <w:r>
        <w:t>ролей</w:t>
      </w:r>
      <w:r>
        <w:t xml:space="preserve"> Решения</w:t>
      </w:r>
    </w:p>
    <w:p w14:paraId="50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Ролевая модель Решения, включая матрицу совместимости ролей.</w:t>
      </w:r>
    </w:p>
    <w:p w14:paraId="51000000">
      <w:bookmarkStart w:id="9" w:name="__RefHeading___6"/>
      <w:bookmarkEnd w:id="9"/>
      <w:pPr>
        <w:pStyle w:val="Style_12"/>
      </w:pPr>
      <w:r>
        <w:t>Регистрация и авторизация</w:t>
      </w:r>
    </w:p>
    <w:p w14:paraId="52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Опишите, какие пользователи должны иметь доступ к функциям решения, как и по какому принципу эти роли должны назначаться.</w:t>
      </w:r>
    </w:p>
    <w:p w14:paraId="53000000">
      <w:bookmarkStart w:id="10" w:name="__RefHeading___7"/>
      <w:bookmarkEnd w:id="10"/>
      <w:pPr>
        <w:pStyle w:val="Style_12"/>
      </w:pPr>
      <w:r>
        <w:t>Описание ключевых функций Решения</w:t>
      </w:r>
    </w:p>
    <w:p w14:paraId="54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Описание основных элементов функциональности, за счет которых планируется достижение целей (</w:t>
      </w:r>
      <w:r>
        <w:rPr>
          <w:i w:val="1"/>
          <w:shd w:fill="FFD821" w:val="clear"/>
        </w:rPr>
        <w:t>приоритизированных</w:t>
      </w:r>
      <w:r>
        <w:rPr>
          <w:i w:val="1"/>
          <w:shd w:fill="FFD821" w:val="clear"/>
        </w:rPr>
        <w:t>), а также модулей или элементов Решения с точки зрения бизнес-архитектуры.</w:t>
      </w:r>
    </w:p>
    <w:p w14:paraId="55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Список бизнес-процессов, которые затрагивает и изменяет Решения, с описанием предлагаемых изменений (как есть сейчас и как должно быть после). </w:t>
      </w:r>
    </w:p>
    <w:p w14:paraId="56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Пояснения того, как элементы функциональности и процессы вместе позво</w:t>
      </w:r>
      <w:r>
        <w:rPr>
          <w:i w:val="1"/>
          <w:shd w:fill="FFD821" w:val="clear"/>
        </w:rPr>
        <w:t>ляют получить бизнес-результат.</w:t>
      </w:r>
    </w:p>
    <w:p w14:paraId="57000000">
      <w:bookmarkStart w:id="11" w:name="__RefHeading___8"/>
      <w:bookmarkEnd w:id="11"/>
      <w:pPr>
        <w:pStyle w:val="Style_12"/>
      </w:pPr>
      <w:r>
        <w:t xml:space="preserve">Описание </w:t>
      </w:r>
      <w:r>
        <w:t>клиентских</w:t>
      </w:r>
      <w:r>
        <w:t xml:space="preserve"> путей</w:t>
      </w:r>
    </w:p>
    <w:p w14:paraId="58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Раздел заполняется, если к Решению </w:t>
      </w:r>
      <w:r>
        <w:rPr>
          <w:i w:val="1"/>
          <w:shd w:fill="FFD821" w:val="clear"/>
        </w:rPr>
        <w:t>релевантно</w:t>
      </w:r>
      <w:r>
        <w:rPr>
          <w:i w:val="1"/>
          <w:shd w:fill="FFD821" w:val="clear"/>
        </w:rPr>
        <w:t xml:space="preserve"> при</w:t>
      </w:r>
      <w:r>
        <w:rPr>
          <w:i w:val="1"/>
          <w:shd w:fill="FFD821" w:val="clear"/>
        </w:rPr>
        <w:t>менять понятие клиентских путей</w:t>
      </w:r>
    </w:p>
    <w:p w14:paraId="59000000">
      <w:pPr>
        <w:pStyle w:val="Style_13"/>
        <w:tabs>
          <w:tab w:leader="none" w:pos="360" w:val="clear"/>
        </w:tabs>
        <w:ind/>
      </w:pPr>
      <w:r>
        <w:t xml:space="preserve">Текущий клиентский путь и </w:t>
      </w:r>
      <w:r>
        <w:t>Use</w:t>
      </w:r>
      <w:r>
        <w:t xml:space="preserve"> </w:t>
      </w:r>
      <w:r>
        <w:t>Case</w:t>
      </w:r>
    </w:p>
    <w:p w14:paraId="5A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Карты клиентских путей: основные этапы и шаги пользователей, с необходимой степенью проработки – в разрезе персон и каналов. Описание болевых точек и первопричин</w:t>
      </w:r>
      <w:r>
        <w:rPr>
          <w:i w:val="1"/>
          <w:shd w:fill="FFD821" w:val="clear"/>
        </w:rPr>
        <w:t>.</w:t>
      </w:r>
    </w:p>
    <w:p w14:paraId="5B000000">
      <w:pPr>
        <w:pStyle w:val="Style_13"/>
        <w:tabs>
          <w:tab w:leader="none" w:pos="360" w:val="clear"/>
        </w:tabs>
        <w:ind/>
      </w:pPr>
      <w:r>
        <w:t xml:space="preserve">Целевой клиентский путь и </w:t>
      </w:r>
      <w:r>
        <w:t>Use</w:t>
      </w:r>
      <w:r>
        <w:t xml:space="preserve"> </w:t>
      </w:r>
      <w:r>
        <w:t>Case</w:t>
      </w:r>
    </w:p>
    <w:p w14:paraId="5C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Карта целевого клиентского пути. Описание основных шагов клиента (в разрезе каналов и систем)</w:t>
      </w:r>
      <w:r>
        <w:rPr>
          <w:i w:val="1"/>
          <w:shd w:fill="FFD821" w:val="clear"/>
        </w:rPr>
        <w:t>.</w:t>
      </w:r>
    </w:p>
    <w:p w14:paraId="5D000000">
      <w:bookmarkStart w:id="12" w:name="__RefHeading___9"/>
      <w:bookmarkEnd w:id="12"/>
      <w:pPr>
        <w:pStyle w:val="Style_12"/>
      </w:pPr>
      <w:r>
        <w:t>Требования</w:t>
      </w:r>
      <w:r>
        <w:t xml:space="preserve"> к отчетности</w:t>
      </w:r>
    </w:p>
    <w:p w14:paraId="5E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Заполняется по необходимости.</w:t>
      </w:r>
    </w:p>
    <w:p w14:paraId="5F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Перечень требуемых отчетов в бизнес-терминах с указанием необходимых параметров, алгоритмов по их формированию, требований к формату запуска (например, возможность формирования списков клиентов в определенном разрезе, периодичность формирования отчетов, форма представления отчетов, и т.п.).</w:t>
      </w:r>
    </w:p>
    <w:p w14:paraId="60000000">
      <w:pPr>
        <w:pStyle w:val="Style_9"/>
      </w:pPr>
    </w:p>
    <w:p w14:paraId="61000000">
      <w:bookmarkStart w:id="13" w:name="__RefHeading___10"/>
      <w:bookmarkEnd w:id="13"/>
      <w:pPr>
        <w:pStyle w:val="Style_8"/>
      </w:pPr>
      <w:r>
        <w:t>Нефункциональные</w:t>
      </w:r>
      <w:r>
        <w:t xml:space="preserve"> требования</w:t>
      </w:r>
    </w:p>
    <w:p w14:paraId="62000000">
      <w:bookmarkStart w:id="14" w:name="__RefHeading___11"/>
      <w:bookmarkEnd w:id="14"/>
      <w:pPr>
        <w:pStyle w:val="Style_12"/>
      </w:pPr>
      <w:r>
        <w:rPr>
          <w:caps w:val="1"/>
        </w:rPr>
        <w:t xml:space="preserve"> </w:t>
      </w:r>
      <w:r>
        <w:t>Требования к производительности (быстродействия) Решения</w:t>
      </w:r>
    </w:p>
    <w:p w14:paraId="63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Требуемая скорость работы Решения, в том числе скорость отработки различных пользовательские операции с учетом ограничений по потреблению, </w:t>
      </w:r>
      <w:r>
        <w:rPr>
          <w:i w:val="1"/>
          <w:shd w:fill="FFD821" w:val="clear"/>
        </w:rPr>
        <w:t>например</w:t>
      </w:r>
      <w:r>
        <w:rPr>
          <w:i w:val="1"/>
          <w:shd w:fill="FFD821" w:val="clear"/>
        </w:rPr>
        <w:t>: скорость входа, скорость ответа страницы, скорость обработки запроса и т.д.</w:t>
      </w:r>
    </w:p>
    <w:p w14:paraId="64000000">
      <w:bookmarkStart w:id="15" w:name="__RefHeading___12"/>
      <w:bookmarkEnd w:id="15"/>
      <w:pPr>
        <w:pStyle w:val="Style_12"/>
      </w:pPr>
      <w:r>
        <w:t>Ограничения по потреблению Решения</w:t>
      </w:r>
    </w:p>
    <w:p w14:paraId="65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Ожидаемые показатели нагрузки решения, при которых оно должно стабильно работать, </w:t>
      </w:r>
      <w:r>
        <w:rPr>
          <w:i w:val="1"/>
          <w:shd w:fill="FFD821" w:val="clear"/>
        </w:rPr>
        <w:t>например</w:t>
      </w:r>
      <w:r>
        <w:rPr>
          <w:i w:val="1"/>
          <w:shd w:fill="FFD821" w:val="clear"/>
        </w:rPr>
        <w:t>: число единовременно работающих пользователей, объем транзакций, объем передаваемых данных и т.д.</w:t>
      </w:r>
    </w:p>
    <w:p w14:paraId="66000000">
      <w:bookmarkStart w:id="16" w:name="__RefHeading___13"/>
      <w:bookmarkEnd w:id="16"/>
      <w:pPr>
        <w:pStyle w:val="Style_12"/>
      </w:pPr>
      <w:r>
        <w:t>Требования доступности и надежности</w:t>
      </w:r>
    </w:p>
    <w:p w14:paraId="67000000">
      <w:pPr>
        <w:pStyle w:val="Style_13"/>
        <w:tabs>
          <w:tab w:leader="none" w:pos="360" w:val="clear"/>
        </w:tabs>
        <w:ind/>
      </w:pPr>
      <w:r>
        <w:t>Требования к доступности</w:t>
      </w:r>
    </w:p>
    <w:p w14:paraId="68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Ожидаемые показатели доступности решения в процентах, например, 99,9% (т.е. 99,9% всего времени эксплуатации система должна быть доступна; иными словами, система может быть недоступна не более 40 минут в месяц. </w:t>
      </w:r>
    </w:p>
    <w:p w14:paraId="69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Требования должно быть обосновано с точки зрения влияния на бизнес</w:t>
      </w:r>
      <w:r>
        <w:rPr>
          <w:i w:val="1"/>
          <w:shd w:fill="FFD821" w:val="clear"/>
        </w:rPr>
        <w:t xml:space="preserve">, т.е. какое влияние на </w:t>
      </w:r>
      <w:r>
        <w:rPr>
          <w:i w:val="1"/>
          <w:shd w:fill="FFD821" w:val="clear"/>
        </w:rPr>
        <w:t>Бизнес окажет решение</w:t>
      </w:r>
      <w:r>
        <w:rPr>
          <w:i w:val="1"/>
          <w:shd w:fill="FFD821" w:val="clear"/>
        </w:rPr>
        <w:t xml:space="preserve"> при не соответствии требованиям</w:t>
      </w:r>
      <w:r>
        <w:rPr>
          <w:i w:val="1"/>
          <w:shd w:fill="FFD821" w:val="clear"/>
        </w:rPr>
        <w:t>.</w:t>
      </w:r>
    </w:p>
    <w:p w14:paraId="6A000000">
      <w:pPr>
        <w:pStyle w:val="Style_13"/>
        <w:tabs>
          <w:tab w:leader="none" w:pos="360" w:val="clear"/>
        </w:tabs>
        <w:ind/>
      </w:pPr>
      <w:r>
        <w:t>RTO</w:t>
      </w:r>
    </w:p>
    <w:p w14:paraId="6B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Recovery</w:t>
      </w:r>
      <w:r>
        <w:rPr>
          <w:i w:val="1"/>
          <w:shd w:fill="FFD821" w:val="clear"/>
        </w:rPr>
        <w:t xml:space="preserve"> </w:t>
      </w:r>
      <w:r>
        <w:rPr>
          <w:i w:val="1"/>
          <w:shd w:fill="FFD821" w:val="clear"/>
        </w:rPr>
        <w:t>time</w:t>
      </w:r>
      <w:r>
        <w:rPr>
          <w:i w:val="1"/>
          <w:shd w:fill="FFD821" w:val="clear"/>
        </w:rPr>
        <w:t xml:space="preserve"> </w:t>
      </w:r>
      <w:r>
        <w:rPr>
          <w:i w:val="1"/>
          <w:shd w:fill="FFD821" w:val="clear"/>
        </w:rPr>
        <w:t>objective</w:t>
      </w:r>
      <w:r>
        <w:rPr>
          <w:i w:val="1"/>
          <w:shd w:fill="FFD821" w:val="clear"/>
        </w:rPr>
        <w:t xml:space="preserve"> - промежуток времени с момента возникновения сбоя, в течение которого необходимо восстановить функционирование Решения.  Требования должно быть обосновано с точки зрения влияния на бизнес-деятельность </w:t>
      </w:r>
      <w:r>
        <w:rPr>
          <w:i w:val="1"/>
          <w:shd w:fill="FFD821" w:val="clear"/>
        </w:rPr>
        <w:t>Бизнес</w:t>
      </w:r>
      <w:r>
        <w:rPr>
          <w:i w:val="1"/>
          <w:shd w:fill="FFD821" w:val="clear"/>
        </w:rPr>
        <w:t xml:space="preserve">, т.е. какое влияние на </w:t>
      </w:r>
      <w:r>
        <w:rPr>
          <w:i w:val="1"/>
          <w:shd w:fill="FFD821" w:val="clear"/>
        </w:rPr>
        <w:t>Бизнес</w:t>
      </w:r>
      <w:r>
        <w:rPr>
          <w:i w:val="1"/>
          <w:shd w:fill="FFD821" w:val="clear"/>
        </w:rPr>
        <w:t>, если срок восстановления больше допустимого. В минутах / часах</w:t>
      </w:r>
      <w:r>
        <w:rPr>
          <w:i w:val="1"/>
          <w:shd w:fill="FFD821" w:val="clear"/>
        </w:rPr>
        <w:t>.</w:t>
      </w:r>
    </w:p>
    <w:p w14:paraId="6C000000">
      <w:pPr>
        <w:pStyle w:val="Style_13"/>
        <w:tabs>
          <w:tab w:leader="none" w:pos="360" w:val="clear"/>
        </w:tabs>
        <w:ind/>
      </w:pPr>
      <w:r>
        <w:t>RPO</w:t>
      </w:r>
    </w:p>
    <w:p w14:paraId="6D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Recovery</w:t>
      </w:r>
      <w:r>
        <w:rPr>
          <w:i w:val="1"/>
          <w:shd w:fill="FFD821" w:val="clear"/>
        </w:rPr>
        <w:t xml:space="preserve"> </w:t>
      </w:r>
      <w:r>
        <w:rPr>
          <w:i w:val="1"/>
          <w:shd w:fill="FFD821" w:val="clear"/>
        </w:rPr>
        <w:t>point</w:t>
      </w:r>
      <w:r>
        <w:rPr>
          <w:i w:val="1"/>
          <w:shd w:fill="FFD821" w:val="clear"/>
        </w:rPr>
        <w:t xml:space="preserve"> </w:t>
      </w:r>
      <w:r>
        <w:rPr>
          <w:i w:val="1"/>
          <w:shd w:fill="FFD821" w:val="clear"/>
        </w:rPr>
        <w:t>objective</w:t>
      </w:r>
      <w:r>
        <w:rPr>
          <w:i w:val="1"/>
          <w:shd w:fill="FFD821" w:val="clear"/>
        </w:rPr>
        <w:t xml:space="preserve"> - промежуток времени, предшествующий моменту возникновения сбоя, за который допускается потеря данных (глубина хранения данных). Требования должно быть обосновано с точки зрения влияния на б</w:t>
      </w:r>
      <w:r>
        <w:rPr>
          <w:i w:val="1"/>
          <w:shd w:fill="FFD821" w:val="clear"/>
        </w:rPr>
        <w:t>изнес</w:t>
      </w:r>
      <w:r>
        <w:rPr>
          <w:i w:val="1"/>
          <w:shd w:fill="FFD821" w:val="clear"/>
        </w:rPr>
        <w:t>, т.е. какое влияние окажет сбой</w:t>
      </w:r>
      <w:r>
        <w:rPr>
          <w:i w:val="1"/>
          <w:shd w:fill="FFD821" w:val="clear"/>
        </w:rPr>
        <w:t>, если глубина потери больше допустимой. В минутах / часах</w:t>
      </w:r>
      <w:r>
        <w:rPr>
          <w:i w:val="1"/>
          <w:shd w:fill="FFD821" w:val="clear"/>
        </w:rPr>
        <w:t>.</w:t>
      </w:r>
    </w:p>
    <w:p w14:paraId="6E000000">
      <w:pPr>
        <w:pStyle w:val="Style_13"/>
        <w:tabs>
          <w:tab w:leader="none" w:pos="360" w:val="clear"/>
        </w:tabs>
        <w:ind/>
      </w:pPr>
      <w:r>
        <w:t>Прочие требования</w:t>
      </w:r>
    </w:p>
    <w:p w14:paraId="6F000000">
      <w:pPr>
        <w:pStyle w:val="Style_9"/>
        <w:rPr>
          <w:i w:val="1"/>
        </w:rPr>
      </w:pPr>
      <w:r>
        <w:rPr>
          <w:i w:val="1"/>
        </w:rPr>
        <w:t xml:space="preserve">Иные требования к доступности и </w:t>
      </w:r>
      <w:r>
        <w:rPr>
          <w:i w:val="1"/>
        </w:rPr>
        <w:t>надежности  Решения</w:t>
      </w:r>
      <w:r>
        <w:rPr>
          <w:i w:val="1"/>
        </w:rPr>
        <w:t>.</w:t>
      </w:r>
    </w:p>
    <w:p w14:paraId="70000000">
      <w:bookmarkStart w:id="17" w:name="__RefHeading___14"/>
      <w:bookmarkEnd w:id="17"/>
      <w:pPr>
        <w:pStyle w:val="Style_12"/>
      </w:pPr>
      <w:r>
        <w:t>Регламенты и стандарты</w:t>
      </w:r>
    </w:p>
    <w:p w14:paraId="71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Требования от внутренних и внешних регламентов, стандартов, законов, которые должны быть учтены в Решении. Рекомендуется указывать не только ссылку на документ, но и что именно / какой раздел из документа должен быть учтён.</w:t>
      </w:r>
    </w:p>
    <w:p w14:paraId="72000000">
      <w:bookmarkStart w:id="18" w:name="__RefHeading___15"/>
      <w:bookmarkEnd w:id="18"/>
      <w:pPr>
        <w:pStyle w:val="Style_12"/>
      </w:pPr>
      <w:r>
        <w:t>Прочие нефункциональные требования</w:t>
      </w:r>
    </w:p>
    <w:p w14:paraId="73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В данный раздел могут быть добавлены, при их наличии, прочие нефункциональные требования (такие, как </w:t>
      </w:r>
      <w:r>
        <w:rPr>
          <w:i w:val="1"/>
          <w:shd w:fill="FFD821" w:val="clear"/>
        </w:rPr>
        <w:t>рекомендации / ограничения по архитектуре, локализация</w:t>
      </w:r>
      <w:r>
        <w:rPr>
          <w:i w:val="1"/>
          <w:shd w:fill="FFD821" w:val="clear"/>
        </w:rPr>
        <w:t>, совместимость, целостность, масштабируемость и др.)</w:t>
      </w:r>
      <w:r>
        <w:rPr>
          <w:i w:val="1"/>
          <w:shd w:fill="FFD821" w:val="clear"/>
        </w:rPr>
        <w:t>.</w:t>
      </w:r>
    </w:p>
    <w:p w14:paraId="74000000">
      <w:bookmarkStart w:id="19" w:name="__RefHeading___16"/>
      <w:bookmarkEnd w:id="19"/>
      <w:pPr>
        <w:pStyle w:val="Style_8"/>
      </w:pPr>
      <w:r>
        <w:t>Требования к пользовательскому интерфейсу</w:t>
      </w:r>
    </w:p>
    <w:p w14:paraId="75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Требования к пользовательскому интерфейсу: экраны и расположение функциональных элементов, цветовая гамма, удобство использования, поддерживаемые языки.</w:t>
      </w:r>
    </w:p>
    <w:p w14:paraId="76000000">
      <w:bookmarkStart w:id="20" w:name="__RefHeading___17"/>
      <w:bookmarkEnd w:id="20"/>
      <w:pPr>
        <w:pStyle w:val="Style_8"/>
      </w:pPr>
      <w:r>
        <w:t>Требования к внешним интерфейсам</w:t>
      </w:r>
    </w:p>
    <w:p w14:paraId="77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 xml:space="preserve">Требования к API Решения. Опишите какие функции и данные Решения должны быть доступны для внешних систем-потребителей. </w:t>
      </w:r>
    </w:p>
    <w:p w14:paraId="78000000">
      <w:bookmarkStart w:id="21" w:name="__RefHeading___18"/>
      <w:bookmarkEnd w:id="21"/>
      <w:pPr>
        <w:pStyle w:val="Style_8"/>
      </w:pPr>
      <w:r>
        <w:t>Требования к информационной безопасности</w:t>
      </w:r>
    </w:p>
    <w:p w14:paraId="79000000">
      <w:pPr>
        <w:pStyle w:val="Style_9"/>
        <w:rPr>
          <w:i w:val="1"/>
          <w:shd w:fill="FFD821" w:val="clear"/>
        </w:rPr>
      </w:pPr>
      <w:r>
        <w:rPr>
          <w:i w:val="1"/>
          <w:shd w:fill="FFD821" w:val="clear"/>
        </w:rPr>
        <w:t>Требования, направленные на защиту Решения от несанкционированного доступа, вредоносного кода, атак злоумышленников и т.п., например, требования по идентификации, аутентификация и авторизации пользователей.</w:t>
      </w:r>
      <w:r>
        <w:rPr>
          <w:i w:val="1"/>
          <w:shd w:fill="FFD821" w:val="clear"/>
        </w:rPr>
        <w:t xml:space="preserve"> Должны содержать, если применимо:</w:t>
      </w:r>
    </w:p>
    <w:p w14:paraId="7A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Аудиту;</w:t>
      </w:r>
    </w:p>
    <w:p w14:paraId="7B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Программно-аппаратному комплексу для обеспечения безопасности;</w:t>
      </w:r>
    </w:p>
    <w:p w14:paraId="7C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Идентификации / аутентификации / авторизации;</w:t>
      </w:r>
    </w:p>
    <w:p w14:paraId="7D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Защите от несанкционированного доступа;</w:t>
      </w:r>
    </w:p>
    <w:p w14:paraId="7E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Антивирусной защите;</w:t>
      </w:r>
    </w:p>
    <w:p w14:paraId="7F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Анализу защищённости;</w:t>
      </w:r>
    </w:p>
    <w:p w14:paraId="80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Защите от вредоносного кода;</w:t>
      </w:r>
    </w:p>
    <w:p w14:paraId="81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Паролям;</w:t>
      </w:r>
    </w:p>
    <w:p w14:paraId="82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Электронным подписям / сертификатам;</w:t>
      </w:r>
    </w:p>
    <w:p w14:paraId="83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Мониторингу безопасности;</w:t>
      </w:r>
    </w:p>
    <w:p w14:paraId="84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Управлению сессиями;</w:t>
      </w:r>
    </w:p>
    <w:p w14:paraId="85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Входным / выходным данным;</w:t>
      </w:r>
    </w:p>
    <w:p w14:paraId="86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Криптографии;</w:t>
      </w:r>
    </w:p>
    <w:p w14:paraId="87000000">
      <w:pPr>
        <w:pStyle w:val="Style_9"/>
        <w:numPr>
          <w:ilvl w:val="0"/>
          <w:numId w:val="3"/>
        </w:numPr>
        <w:rPr>
          <w:i w:val="1"/>
          <w:shd w:fill="FFD821" w:val="clear"/>
        </w:rPr>
      </w:pPr>
      <w:r>
        <w:rPr>
          <w:i w:val="1"/>
          <w:shd w:fill="FFD821" w:val="clear"/>
        </w:rPr>
        <w:t>Защищённым портам и протоколам.</w:t>
      </w:r>
    </w:p>
    <w:p w14:paraId="88000000"/>
    <w:p w14:paraId="89000000"/>
    <w:p w14:paraId="8A000000">
      <w:bookmarkStart w:id="22" w:name="__RefHeading___20"/>
      <w:bookmarkEnd w:id="22"/>
      <w:pPr>
        <w:pStyle w:val="Style_14"/>
        <w:ind/>
        <w:jc w:val="center"/>
      </w:pPr>
      <w:r>
        <w:t xml:space="preserve">Чтобы составить грамотное ТЗ и ничего не упустить, пройдите мини курс по ссылке </w:t>
      </w:r>
      <w:r>
        <w:rPr>
          <w:rStyle w:val="Style_1_ch"/>
        </w:rPr>
        <w:fldChar w:fldCharType="begin"/>
      </w:r>
      <w:r>
        <w:rPr>
          <w:rStyle w:val="Style_1_ch"/>
        </w:rPr>
        <w:instrText>HYPERLINK "https://stepik.org/a/271087"</w:instrText>
      </w:r>
      <w:r>
        <w:rPr>
          <w:rStyle w:val="Style_1_ch"/>
        </w:rPr>
        <w:fldChar w:fldCharType="separate"/>
      </w:r>
      <w:r>
        <w:rPr>
          <w:rStyle w:val="Style_1_ch"/>
        </w:rPr>
        <w:t>https://stepik.org/a/271087</w:t>
      </w:r>
      <w:r>
        <w:rPr>
          <w:rStyle w:val="Style_1_ch"/>
        </w:rPr>
        <w:fldChar w:fldCharType="end"/>
      </w:r>
      <w:r>
        <w:t xml:space="preserve"> </w:t>
      </w:r>
    </w:p>
    <w:p w14:paraId="8B000000">
      <w:pPr>
        <w:pStyle w:val="Style_15"/>
        <w:ind/>
        <w:jc w:val="center"/>
      </w:pPr>
      <w:r>
        <w:drawing>
          <wp:inline>
            <wp:extent cx="3649980" cy="364998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649980" cy="36499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C000000"/>
    <w:sectPr>
      <w:headerReference r:id="rId1" w:type="default"/>
      <w:footerReference r:id="rId2" w:type="default"/>
      <w:pgSz w:h="16840" w:orient="portrait" w:w="11907"/>
      <w:pgMar w:bottom="1134" w:footer="720" w:gutter="0" w:header="72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ind/>
      <w:jc w:val="right"/>
    </w:pPr>
  </w:p>
  <w:p w14:paraId="03000000">
    <w:pPr>
      <w:pStyle w:val="Style_2"/>
      <w:ind/>
      <w:jc w:val="right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</w:pPr>
  </w:p>
  <w:p w14:paraId="05000000">
    <w:pPr>
      <w:pStyle w:val="Style_2"/>
      <w:ind/>
      <w:jc w:val="right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  <w:rPr>
        <w:sz w:val="20"/>
      </w:rPr>
    </w:pPr>
    <w:r>
      <w:rPr>
        <w:rStyle w:val="Style_1_ch"/>
        <w:sz w:val="20"/>
      </w:rPr>
      <w:fldChar w:fldCharType="begin"/>
    </w:r>
    <w:r>
      <w:rPr>
        <w:rStyle w:val="Style_1_ch"/>
        <w:sz w:val="20"/>
      </w:rPr>
      <w:instrText>HYPERLINK "https://nexus-analytics.ru/"</w:instrText>
    </w:r>
    <w:r>
      <w:rPr>
        <w:rStyle w:val="Style_1_ch"/>
        <w:sz w:val="20"/>
      </w:rPr>
      <w:fldChar w:fldCharType="separate"/>
    </w:r>
    <w:r>
      <w:rPr>
        <w:rStyle w:val="Style_1_ch"/>
        <w:sz w:val="20"/>
      </w:rPr>
      <w:t>https://nexus-analytics.ru/</w:t>
    </w:r>
    <w:r>
      <w:rPr>
        <w:rStyle w:val="Style_1_ch"/>
        <w:sz w:val="20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114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5"/>
      </w:pPr>
      <w:rPr>
        <w:rFonts w:ascii="Wingdings" w:hAnsi="Wingdings"/>
      </w:rPr>
    </w:lvl>
  </w:abstractNum>
  <w:abstractNum w:abstractNumId="3">
    <w:lvl w:ilvl="0">
      <w:start w:val="1"/>
      <w:numFmt w:val="decimal"/>
      <w:pStyle w:val="Style_8"/>
      <w:lvlText w:val="%1."/>
      <w:lvlJc w:val="left"/>
      <w:pPr>
        <w:ind w:hanging="360" w:left="360"/>
      </w:pPr>
      <w:rPr>
        <w:sz w:val="24"/>
      </w:rPr>
    </w:lvl>
    <w:lvl w:ilvl="1">
      <w:start w:val="1"/>
      <w:numFmt w:val="decimal"/>
      <w:pStyle w:val="Style_12"/>
      <w:lvlText w:val="%1.%2."/>
      <w:lvlJc w:val="left"/>
      <w:pPr>
        <w:ind w:hanging="432" w:left="432"/>
      </w:pPr>
      <w:rPr>
        <w:b w:val="1"/>
        <w:i w:val="0"/>
        <w:caps w:val="0"/>
        <w:smallCaps w:val="0"/>
        <w:strike w:val="0"/>
        <w:color w:val="000000"/>
        <w:spacing w:val="0"/>
        <w:u w:val="none"/>
      </w:rPr>
    </w:lvl>
    <w:lvl w:ilvl="2">
      <w:start w:val="1"/>
      <w:numFmt w:val="decimal"/>
      <w:lvlText w:val="%1.%2.%3."/>
      <w:lvlJc w:val="left"/>
      <w:pPr>
        <w:ind w:hanging="504" w:left="1213"/>
      </w:pPr>
    </w:lvl>
    <w:lvl w:ilvl="3">
      <w:start w:val="1"/>
      <w:numFmt w:val="decimal"/>
      <w:pStyle w:val="Style_34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  <w:pPr>
      <w:spacing w:after="120" w:line="240" w:lineRule="auto"/>
      <w:ind/>
    </w:pPr>
    <w:rPr>
      <w:rFonts w:ascii="Arial" w:hAnsi="Arial"/>
    </w:rPr>
  </w:style>
  <w:style w:default="1" w:styleId="Style_15_ch" w:type="character">
    <w:name w:val="Normal"/>
    <w:link w:val="Style_15"/>
    <w:rPr>
      <w:rFonts w:ascii="Arial" w:hAnsi="Arial"/>
    </w:rPr>
  </w:style>
  <w:style w:styleId="Style_16" w:type="paragraph">
    <w:name w:val="No Spacing"/>
    <w:link w:val="Style_16_ch"/>
    <w:pPr>
      <w:spacing w:after="0" w:line="240" w:lineRule="auto"/>
      <w:ind/>
    </w:pPr>
    <w:rPr>
      <w:rFonts w:ascii="Arial" w:hAnsi="Arial"/>
    </w:rPr>
  </w:style>
  <w:style w:styleId="Style_16_ch" w:type="character">
    <w:name w:val="No Spacing"/>
    <w:link w:val="Style_16"/>
    <w:rPr>
      <w:rFonts w:ascii="Arial" w:hAnsi="Arial"/>
    </w:rPr>
  </w:style>
  <w:style w:styleId="Style_7" w:type="paragraph">
    <w:name w:val="toc 2"/>
    <w:basedOn w:val="Style_15"/>
    <w:next w:val="Style_15"/>
    <w:link w:val="Style_7_ch"/>
    <w:uiPriority w:val="39"/>
    <w:pPr>
      <w:spacing w:after="100"/>
      <w:ind w:firstLine="0" w:left="240"/>
    </w:pPr>
  </w:style>
  <w:style w:styleId="Style_7_ch" w:type="character">
    <w:name w:val="toc 2"/>
    <w:basedOn w:val="Style_15_ch"/>
    <w:link w:val="Style_7"/>
  </w:style>
  <w:style w:styleId="Style_8" w:type="paragraph">
    <w:name w:val="ВТБ - H1"/>
    <w:basedOn w:val="Style_11"/>
    <w:link w:val="Style_8_ch"/>
    <w:pPr>
      <w:keepNext w:val="1"/>
      <w:numPr>
        <w:numId w:val="4"/>
      </w:numPr>
      <w:spacing w:before="240"/>
      <w:ind/>
      <w:contextualSpacing w:val="0"/>
      <w:outlineLvl w:val="0"/>
    </w:pPr>
    <w:rPr>
      <w:b w:val="1"/>
      <w:caps w:val="1"/>
      <w:sz w:val="24"/>
    </w:rPr>
  </w:style>
  <w:style w:styleId="Style_8_ch" w:type="character">
    <w:name w:val="ВТБ - H1"/>
    <w:basedOn w:val="Style_11_ch"/>
    <w:link w:val="Style_8"/>
    <w:rPr>
      <w:b w:val="1"/>
      <w:caps w:val="1"/>
      <w:sz w:val="24"/>
    </w:rPr>
  </w:style>
  <w:style w:styleId="Style_17" w:type="paragraph">
    <w:name w:val="toc 4"/>
    <w:next w:val="Style_15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toc 6"/>
    <w:next w:val="Style_15"/>
    <w:link w:val="Style_1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5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11" w:type="paragraph">
    <w:name w:val="List Paragraph"/>
    <w:basedOn w:val="Style_15"/>
    <w:link w:val="Style_11_ch"/>
    <w:pPr>
      <w:ind w:firstLine="0" w:left="720"/>
      <w:contextualSpacing w:val="1"/>
    </w:pPr>
  </w:style>
  <w:style w:styleId="Style_11_ch" w:type="character">
    <w:name w:val="List Paragraph"/>
    <w:basedOn w:val="Style_15_ch"/>
    <w:link w:val="Style_11"/>
  </w:style>
  <w:style w:styleId="Style_20" w:type="paragraph">
    <w:name w:val="heading 3"/>
    <w:next w:val="Style_15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12" w:type="paragraph">
    <w:name w:val="ВТБ - L2"/>
    <w:basedOn w:val="Style_11"/>
    <w:link w:val="Style_12_ch"/>
    <w:pPr>
      <w:keepNext w:val="1"/>
      <w:numPr>
        <w:ilvl w:val="1"/>
        <w:numId w:val="4"/>
      </w:numPr>
      <w:spacing w:before="240"/>
      <w:ind/>
      <w:contextualSpacing w:val="0"/>
      <w:jc w:val="both"/>
      <w:outlineLvl w:val="1"/>
    </w:pPr>
    <w:rPr>
      <w:b w:val="1"/>
      <w:sz w:val="24"/>
    </w:rPr>
  </w:style>
  <w:style w:styleId="Style_12_ch" w:type="character">
    <w:name w:val="ВТБ - L2"/>
    <w:basedOn w:val="Style_11_ch"/>
    <w:link w:val="Style_12"/>
    <w:rPr>
      <w:b w:val="1"/>
      <w:sz w:val="24"/>
    </w:rPr>
  </w:style>
  <w:style w:styleId="Style_9" w:type="paragraph">
    <w:name w:val="ВТБ - ContestBullet"/>
    <w:basedOn w:val="Style_6"/>
    <w:link w:val="Style_9_ch"/>
    <w:pPr>
      <w:tabs>
        <w:tab w:leader="none" w:pos="993" w:val="left"/>
      </w:tabs>
      <w:ind w:firstLine="425" w:left="0"/>
      <w:jc w:val="both"/>
    </w:pPr>
  </w:style>
  <w:style w:styleId="Style_9_ch" w:type="character">
    <w:name w:val="ВТБ - ContestBullet"/>
    <w:basedOn w:val="Style_6_ch"/>
    <w:link w:val="Style_9"/>
  </w:style>
  <w:style w:styleId="Style_21" w:type="paragraph">
    <w:name w:val="toc 3"/>
    <w:next w:val="Style_1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heading 5"/>
    <w:next w:val="Style_1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14" w:type="paragraph">
    <w:name w:val="heading 1"/>
    <w:next w:val="Style_1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4" w:type="paragraph">
    <w:name w:val="Обычный1"/>
    <w:link w:val="Style_4_ch"/>
    <w:pPr>
      <w:widowControl w:val="0"/>
      <w:spacing w:after="0" w:before="220" w:line="300" w:lineRule="auto"/>
      <w:ind w:hanging="720" w:left="720"/>
      <w:jc w:val="both"/>
    </w:pPr>
    <w:rPr>
      <w:rFonts w:ascii="Times New Roman" w:hAnsi="Times New Roman"/>
    </w:rPr>
  </w:style>
  <w:style w:styleId="Style_4_ch" w:type="character">
    <w:name w:val="Обычный1"/>
    <w:link w:val="Style_4"/>
    <w:rPr>
      <w:rFonts w:ascii="Times New Roman" w:hAnsi="Times New Roman"/>
    </w:rPr>
  </w:style>
  <w:style w:styleId="Style_1" w:type="paragraph">
    <w:name w:val="Hyperlink"/>
    <w:basedOn w:val="Style_23"/>
    <w:link w:val="Style_1_ch"/>
    <w:rPr>
      <w:color w:val="0000FF"/>
      <w:u w:val="single"/>
    </w:rPr>
  </w:style>
  <w:style w:styleId="Style_1_ch" w:type="character">
    <w:name w:val="Hyperlink"/>
    <w:basedOn w:val="Style_23_ch"/>
    <w:link w:val="Style_1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6" w:type="paragraph">
    <w:name w:val="toc 1"/>
    <w:basedOn w:val="Style_15"/>
    <w:next w:val="Style_15"/>
    <w:link w:val="Style_6_ch"/>
    <w:uiPriority w:val="39"/>
    <w:pPr>
      <w:tabs>
        <w:tab w:leader="none" w:pos="426" w:val="left"/>
        <w:tab w:leader="dot" w:pos="9346" w:val="right"/>
      </w:tabs>
      <w:ind/>
    </w:pPr>
  </w:style>
  <w:style w:styleId="Style_6_ch" w:type="character">
    <w:name w:val="toc 1"/>
    <w:basedOn w:val="Style_15_ch"/>
    <w:link w:val="Style_6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header"/>
    <w:basedOn w:val="Style_15"/>
    <w:link w:val="Style_26_ch"/>
    <w:pPr>
      <w:tabs>
        <w:tab w:leader="none" w:pos="4844" w:val="center"/>
        <w:tab w:leader="none" w:pos="9689" w:val="right"/>
      </w:tabs>
      <w:ind/>
    </w:pPr>
  </w:style>
  <w:style w:styleId="Style_26_ch" w:type="character">
    <w:name w:val="header"/>
    <w:basedOn w:val="Style_15_ch"/>
    <w:link w:val="Style_26"/>
  </w:style>
  <w:style w:styleId="Style_10" w:type="paragraph">
    <w:name w:val="caption"/>
    <w:basedOn w:val="Style_15"/>
    <w:next w:val="Style_15"/>
    <w:link w:val="Style_10_ch"/>
    <w:pPr>
      <w:spacing w:after="200"/>
      <w:ind/>
      <w:jc w:val="right"/>
    </w:pPr>
    <w:rPr>
      <w:b w:val="1"/>
    </w:rPr>
  </w:style>
  <w:style w:styleId="Style_10_ch" w:type="character">
    <w:name w:val="caption"/>
    <w:basedOn w:val="Style_15_ch"/>
    <w:link w:val="Style_10"/>
    <w:rPr>
      <w:b w:val="1"/>
    </w:rPr>
  </w:style>
  <w:style w:styleId="Style_27" w:type="paragraph">
    <w:name w:val="toc 9"/>
    <w:next w:val="Style_1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1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1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5" w:type="paragraph">
    <w:name w:val="Тительный лист_заголовок"/>
    <w:basedOn w:val="Style_16"/>
    <w:link w:val="Style_5_ch"/>
    <w:pPr>
      <w:ind/>
      <w:jc w:val="center"/>
    </w:pPr>
    <w:rPr>
      <w:rFonts w:asciiTheme="majorAscii" w:hAnsiTheme="majorHAnsi"/>
      <w:sz w:val="36"/>
    </w:rPr>
  </w:style>
  <w:style w:styleId="Style_5_ch" w:type="character">
    <w:name w:val="Тительный лист_заголовок"/>
    <w:basedOn w:val="Style_16_ch"/>
    <w:link w:val="Style_5"/>
    <w:rPr>
      <w:rFonts w:asciiTheme="majorAscii" w:hAnsiTheme="majorHAnsi"/>
      <w:sz w:val="36"/>
    </w:rPr>
  </w:style>
  <w:style w:styleId="Style_2" w:type="paragraph">
    <w:name w:val="footer"/>
    <w:basedOn w:val="Style_15"/>
    <w:link w:val="Style_2_ch"/>
    <w:pPr>
      <w:tabs>
        <w:tab w:leader="none" w:pos="4844" w:val="center"/>
        <w:tab w:leader="none" w:pos="9689" w:val="right"/>
      </w:tabs>
      <w:ind/>
    </w:pPr>
  </w:style>
  <w:style w:styleId="Style_2_ch" w:type="character">
    <w:name w:val="footer"/>
    <w:basedOn w:val="Style_15_ch"/>
    <w:link w:val="Style_2"/>
  </w:style>
  <w:style w:styleId="Style_30" w:type="paragraph">
    <w:name w:val="Subtitle"/>
    <w:next w:val="Style_1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3" w:type="paragraph">
    <w:name w:val="ВТБ - L3"/>
    <w:basedOn w:val="Style_12"/>
    <w:link w:val="Style_13_ch"/>
    <w:pPr>
      <w:numPr>
        <w:ilvl w:val="2"/>
      </w:numPr>
      <w:tabs>
        <w:tab w:leader="none" w:pos="360" w:val="left"/>
      </w:tabs>
      <w:ind w:hanging="737" w:left="737"/>
      <w:jc w:val="left"/>
      <w:outlineLvl w:val="2"/>
    </w:pPr>
  </w:style>
  <w:style w:styleId="Style_13_ch" w:type="character">
    <w:name w:val="ВТБ - L3"/>
    <w:basedOn w:val="Style_12_ch"/>
    <w:link w:val="Style_13"/>
  </w:style>
  <w:style w:styleId="Style_31" w:type="paragraph">
    <w:name w:val="Title"/>
    <w:next w:val="Style_1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1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ВТБ - L4"/>
    <w:basedOn w:val="Style_11"/>
    <w:link w:val="Style_34_ch"/>
    <w:pPr>
      <w:numPr>
        <w:ilvl w:val="3"/>
        <w:numId w:val="4"/>
      </w:numPr>
      <w:tabs>
        <w:tab w:leader="none" w:pos="360" w:val="left"/>
      </w:tabs>
      <w:spacing w:before="240"/>
      <w:ind w:firstLine="0" w:left="720"/>
      <w:contextualSpacing w:val="0"/>
    </w:pPr>
  </w:style>
  <w:style w:styleId="Style_34_ch" w:type="character">
    <w:name w:val="ВТБ - L4"/>
    <w:basedOn w:val="Style_11_ch"/>
    <w:link w:val="Style_34"/>
  </w:style>
  <w:style w:styleId="Style_35" w:type="table">
    <w:name w:val="Table Grid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2026-02-12T11:31:20Z</dcterms:modified>
</cp:coreProperties>
</file>