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F35" w:rsidRDefault="007D1D87" w:rsidP="00887F35">
      <w:pPr>
        <w:ind w:firstLine="0"/>
        <w:jc w:val="center"/>
        <w:rPr>
          <w:rFonts w:ascii="inherit" w:eastAsia="Times New Roman" w:hAnsi="inherit" w:cs="Arial"/>
          <w:b/>
          <w:color w:val="4B4B4B"/>
          <w:szCs w:val="28"/>
          <w:lang w:eastAsia="ru-RU"/>
        </w:rPr>
      </w:pPr>
      <w:r w:rsidRPr="00887F35">
        <w:rPr>
          <w:rFonts w:ascii="inherit" w:eastAsia="Times New Roman" w:hAnsi="inherit" w:cs="Arial"/>
          <w:b/>
          <w:color w:val="4B4B4B"/>
          <w:szCs w:val="28"/>
          <w:lang w:eastAsia="ru-RU"/>
        </w:rPr>
        <w:t>Численность обучающихся</w:t>
      </w:r>
    </w:p>
    <w:p w:rsidR="007F1A40" w:rsidRPr="00887F35" w:rsidRDefault="007D1D87" w:rsidP="00887F35">
      <w:pPr>
        <w:ind w:firstLine="0"/>
        <w:jc w:val="center"/>
        <w:rPr>
          <w:b/>
          <w:szCs w:val="28"/>
        </w:rPr>
      </w:pPr>
      <w:r w:rsidRPr="00887F35">
        <w:rPr>
          <w:rFonts w:ascii="inherit" w:eastAsia="Times New Roman" w:hAnsi="inherit" w:cs="Arial"/>
          <w:b/>
          <w:color w:val="4B4B4B"/>
          <w:szCs w:val="28"/>
          <w:lang w:eastAsia="ru-RU"/>
        </w:rPr>
        <w:t xml:space="preserve">по реализуемым образовательным программам </w:t>
      </w:r>
      <w:r w:rsidR="00927E03" w:rsidRPr="00887F35">
        <w:rPr>
          <w:rFonts w:ascii="inherit" w:eastAsia="Times New Roman" w:hAnsi="inherit" w:cs="Arial"/>
          <w:b/>
          <w:color w:val="4B4B4B"/>
          <w:szCs w:val="28"/>
          <w:lang w:eastAsia="ru-RU"/>
        </w:rPr>
        <w:t>(</w:t>
      </w:r>
      <w:r w:rsidRPr="00887F35">
        <w:rPr>
          <w:rFonts w:ascii="inherit" w:eastAsia="Times New Roman" w:hAnsi="inherit" w:cs="Arial"/>
          <w:b/>
          <w:color w:val="4B4B4B"/>
          <w:szCs w:val="28"/>
          <w:lang w:eastAsia="ru-RU"/>
        </w:rPr>
        <w:t>2024</w:t>
      </w:r>
      <w:r w:rsidR="00927E03" w:rsidRPr="00887F35">
        <w:rPr>
          <w:rFonts w:ascii="inherit" w:eastAsia="Times New Roman" w:hAnsi="inherit" w:cs="Arial"/>
          <w:b/>
          <w:color w:val="4B4B4B"/>
          <w:szCs w:val="28"/>
          <w:lang w:eastAsia="ru-RU"/>
        </w:rPr>
        <w:t xml:space="preserve"> </w:t>
      </w:r>
      <w:proofErr w:type="gramStart"/>
      <w:r w:rsidR="00927E03" w:rsidRPr="00887F35">
        <w:rPr>
          <w:rFonts w:ascii="inherit" w:eastAsia="Times New Roman" w:hAnsi="inherit" w:cs="Arial"/>
          <w:b/>
          <w:color w:val="4B4B4B"/>
          <w:szCs w:val="28"/>
          <w:lang w:eastAsia="ru-RU"/>
        </w:rPr>
        <w:t>год)*</w:t>
      </w:r>
      <w:proofErr w:type="gramEnd"/>
      <w:r w:rsidR="00927E03" w:rsidRPr="00887F35">
        <w:rPr>
          <w:rFonts w:ascii="inherit" w:eastAsia="Times New Roman" w:hAnsi="inherit" w:cs="Arial"/>
          <w:b/>
          <w:color w:val="4B4B4B"/>
          <w:szCs w:val="28"/>
          <w:lang w:eastAsia="ru-RU"/>
        </w:rPr>
        <w:t>:</w:t>
      </w:r>
    </w:p>
    <w:p w:rsidR="007D1D87" w:rsidRDefault="007D1D87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84"/>
        <w:gridCol w:w="1861"/>
      </w:tblGrid>
      <w:tr w:rsidR="007D1D87" w:rsidTr="00927E03">
        <w:tc>
          <w:tcPr>
            <w:tcW w:w="7512" w:type="dxa"/>
          </w:tcPr>
          <w:p w:rsidR="007D1D87" w:rsidRPr="00887F35" w:rsidRDefault="001D7A90">
            <w:pPr>
              <w:ind w:firstLine="0"/>
              <w:rPr>
                <w:rFonts w:cs="Times New Roman"/>
                <w:b/>
                <w:szCs w:val="28"/>
              </w:rPr>
            </w:pPr>
            <w:r w:rsidRPr="00887F35">
              <w:rPr>
                <w:rFonts w:eastAsia="Times New Roman" w:cs="Times New Roman"/>
                <w:b/>
                <w:color w:val="4B4B4B"/>
                <w:szCs w:val="28"/>
                <w:lang w:eastAsia="ru-RU"/>
              </w:rPr>
              <w:t>Источник финансирования</w:t>
            </w:r>
          </w:p>
        </w:tc>
        <w:tc>
          <w:tcPr>
            <w:tcW w:w="1531" w:type="dxa"/>
          </w:tcPr>
          <w:p w:rsidR="007D1D87" w:rsidRPr="00887F35" w:rsidRDefault="001D7A90">
            <w:pPr>
              <w:ind w:firstLine="0"/>
              <w:rPr>
                <w:rFonts w:cs="Times New Roman"/>
                <w:b/>
                <w:szCs w:val="28"/>
              </w:rPr>
            </w:pPr>
            <w:r w:rsidRPr="00887F35">
              <w:rPr>
                <w:rFonts w:cs="Times New Roman"/>
                <w:b/>
                <w:szCs w:val="28"/>
              </w:rPr>
              <w:t>Численность</w:t>
            </w:r>
          </w:p>
        </w:tc>
      </w:tr>
      <w:tr w:rsidR="001D7A90" w:rsidTr="00927E03">
        <w:tc>
          <w:tcPr>
            <w:tcW w:w="7512" w:type="dxa"/>
          </w:tcPr>
          <w:p w:rsidR="001D7A90" w:rsidRPr="00887F35" w:rsidRDefault="00887F35" w:rsidP="001D7A9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4B4B4B"/>
                <w:szCs w:val="28"/>
                <w:lang w:eastAsia="ru-RU"/>
              </w:rPr>
              <w:t xml:space="preserve">– </w:t>
            </w:r>
            <w:r w:rsidR="001D7A90" w:rsidRPr="00887F35">
              <w:rPr>
                <w:rFonts w:eastAsia="Times New Roman" w:cs="Times New Roman"/>
                <w:color w:val="4B4B4B"/>
                <w:szCs w:val="28"/>
                <w:lang w:eastAsia="ru-RU"/>
              </w:rPr>
              <w:t>за счет бюджетных ассигнований федерального бюджета</w:t>
            </w:r>
          </w:p>
        </w:tc>
        <w:tc>
          <w:tcPr>
            <w:tcW w:w="1531" w:type="dxa"/>
          </w:tcPr>
          <w:p w:rsidR="001D7A90" w:rsidRPr="00887F35" w:rsidRDefault="001D7A90" w:rsidP="001D7A90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887F35">
              <w:rPr>
                <w:rFonts w:cs="Times New Roman"/>
                <w:szCs w:val="28"/>
              </w:rPr>
              <w:t>0</w:t>
            </w:r>
          </w:p>
        </w:tc>
      </w:tr>
      <w:tr w:rsidR="001D7A90" w:rsidTr="00927E03">
        <w:tc>
          <w:tcPr>
            <w:tcW w:w="7512" w:type="dxa"/>
          </w:tcPr>
          <w:p w:rsidR="001D7A90" w:rsidRPr="00887F35" w:rsidRDefault="00887F35" w:rsidP="001D7A90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4B4B4B"/>
                <w:szCs w:val="28"/>
                <w:lang w:eastAsia="ru-RU"/>
              </w:rPr>
              <w:t xml:space="preserve">– </w:t>
            </w:r>
            <w:r w:rsidR="001D7A90" w:rsidRPr="00887F35">
              <w:rPr>
                <w:rFonts w:eastAsia="Times New Roman" w:cs="Times New Roman"/>
                <w:color w:val="4B4B4B"/>
                <w:szCs w:val="28"/>
                <w:lang w:eastAsia="ru-RU"/>
              </w:rPr>
              <w:t>за счет бюджетных ассигнований бюджетов субъектов Российской Федерации</w:t>
            </w:r>
          </w:p>
        </w:tc>
        <w:tc>
          <w:tcPr>
            <w:tcW w:w="1531" w:type="dxa"/>
          </w:tcPr>
          <w:p w:rsidR="001D7A90" w:rsidRPr="00887F35" w:rsidRDefault="001D7A90" w:rsidP="001D7A90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887F35">
              <w:rPr>
                <w:rFonts w:cs="Times New Roman"/>
                <w:szCs w:val="28"/>
              </w:rPr>
              <w:t>0</w:t>
            </w:r>
          </w:p>
        </w:tc>
      </w:tr>
      <w:tr w:rsidR="001D7A90" w:rsidTr="00927E03">
        <w:tc>
          <w:tcPr>
            <w:tcW w:w="7512" w:type="dxa"/>
          </w:tcPr>
          <w:p w:rsidR="001D7A90" w:rsidRPr="00887F35" w:rsidRDefault="00887F35" w:rsidP="00887F35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4B4B4B"/>
                <w:szCs w:val="28"/>
                <w:lang w:eastAsia="ru-RU"/>
              </w:rPr>
              <w:t xml:space="preserve">– </w:t>
            </w:r>
            <w:r w:rsidR="00927E03" w:rsidRPr="00887F35">
              <w:rPr>
                <w:rFonts w:eastAsia="Times New Roman" w:cs="Times New Roman"/>
                <w:color w:val="4B4B4B"/>
                <w:szCs w:val="28"/>
                <w:lang w:eastAsia="ru-RU"/>
              </w:rPr>
              <w:t>з</w:t>
            </w:r>
            <w:r w:rsidR="001D7A90" w:rsidRPr="00887F35">
              <w:rPr>
                <w:rFonts w:eastAsia="Times New Roman" w:cs="Times New Roman"/>
                <w:color w:val="4B4B4B"/>
                <w:szCs w:val="28"/>
                <w:lang w:eastAsia="ru-RU"/>
              </w:rPr>
              <w:t>а счет бюджетных ассигнований местн</w:t>
            </w:r>
            <w:r>
              <w:rPr>
                <w:rFonts w:eastAsia="Times New Roman" w:cs="Times New Roman"/>
                <w:color w:val="4B4B4B"/>
                <w:szCs w:val="28"/>
                <w:lang w:eastAsia="ru-RU"/>
              </w:rPr>
              <w:t>ых</w:t>
            </w:r>
            <w:r w:rsidR="001D7A90" w:rsidRPr="00887F35">
              <w:rPr>
                <w:rFonts w:eastAsia="Times New Roman" w:cs="Times New Roman"/>
                <w:color w:val="4B4B4B"/>
                <w:szCs w:val="28"/>
                <w:lang w:eastAsia="ru-RU"/>
              </w:rPr>
              <w:t xml:space="preserve"> бюджет</w:t>
            </w:r>
            <w:r>
              <w:rPr>
                <w:rFonts w:eastAsia="Times New Roman" w:cs="Times New Roman"/>
                <w:color w:val="4B4B4B"/>
                <w:szCs w:val="28"/>
                <w:lang w:eastAsia="ru-RU"/>
              </w:rPr>
              <w:t>ов</w:t>
            </w:r>
          </w:p>
        </w:tc>
        <w:tc>
          <w:tcPr>
            <w:tcW w:w="1531" w:type="dxa"/>
          </w:tcPr>
          <w:p w:rsidR="001D7A90" w:rsidRPr="00887F35" w:rsidRDefault="001D7A90" w:rsidP="001D7A90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887F35">
              <w:rPr>
                <w:rFonts w:cs="Times New Roman"/>
                <w:szCs w:val="28"/>
              </w:rPr>
              <w:t>0</w:t>
            </w:r>
          </w:p>
        </w:tc>
      </w:tr>
      <w:tr w:rsidR="001D7A90" w:rsidTr="00927E03">
        <w:tc>
          <w:tcPr>
            <w:tcW w:w="7512" w:type="dxa"/>
          </w:tcPr>
          <w:p w:rsidR="001D7A90" w:rsidRPr="00887F35" w:rsidRDefault="00887F35" w:rsidP="00927E03">
            <w:pPr>
              <w:ind w:firstLine="0"/>
              <w:rPr>
                <w:rFonts w:cs="Times New Roman"/>
                <w:szCs w:val="28"/>
              </w:rPr>
            </w:pPr>
            <w:r>
              <w:rPr>
                <w:rFonts w:eastAsia="Times New Roman" w:cs="Times New Roman"/>
                <w:color w:val="4B4B4B"/>
                <w:szCs w:val="28"/>
                <w:lang w:eastAsia="ru-RU"/>
              </w:rPr>
              <w:t xml:space="preserve">– </w:t>
            </w:r>
            <w:r w:rsidR="00927E03" w:rsidRPr="00887F35">
              <w:rPr>
                <w:rFonts w:eastAsia="Times New Roman" w:cs="Times New Roman"/>
                <w:color w:val="4B4B4B"/>
                <w:szCs w:val="28"/>
                <w:lang w:eastAsia="ru-RU"/>
              </w:rPr>
              <w:t>п</w:t>
            </w:r>
            <w:r w:rsidR="001D7A90" w:rsidRPr="00887F35">
              <w:rPr>
                <w:rFonts w:eastAsia="Times New Roman" w:cs="Times New Roman"/>
                <w:color w:val="4B4B4B"/>
                <w:szCs w:val="28"/>
                <w:lang w:eastAsia="ru-RU"/>
              </w:rPr>
              <w:t xml:space="preserve">о договорам об образовании за счет средств </w:t>
            </w:r>
            <w:bookmarkStart w:id="0" w:name="_GoBack"/>
            <w:bookmarkEnd w:id="0"/>
            <w:r w:rsidR="001D7A90" w:rsidRPr="00887F35">
              <w:rPr>
                <w:rFonts w:eastAsia="Times New Roman" w:cs="Times New Roman"/>
                <w:color w:val="4B4B4B"/>
                <w:szCs w:val="28"/>
                <w:lang w:eastAsia="ru-RU"/>
              </w:rPr>
              <w:t>юридических лиц</w:t>
            </w:r>
          </w:p>
        </w:tc>
        <w:tc>
          <w:tcPr>
            <w:tcW w:w="1531" w:type="dxa"/>
          </w:tcPr>
          <w:p w:rsidR="001D7A90" w:rsidRPr="00887F35" w:rsidRDefault="00927E03" w:rsidP="001D7A90">
            <w:pPr>
              <w:ind w:firstLine="0"/>
              <w:jc w:val="right"/>
              <w:rPr>
                <w:rFonts w:cs="Times New Roman"/>
                <w:szCs w:val="28"/>
              </w:rPr>
            </w:pPr>
            <w:r w:rsidRPr="00887F35">
              <w:rPr>
                <w:rFonts w:cs="Times New Roman"/>
                <w:szCs w:val="28"/>
              </w:rPr>
              <w:t>416</w:t>
            </w:r>
          </w:p>
        </w:tc>
      </w:tr>
    </w:tbl>
    <w:p w:rsidR="00927E03" w:rsidRDefault="00927E03" w:rsidP="00A02318">
      <w:pPr>
        <w:rPr>
          <w:rFonts w:cs="Times New Roman"/>
          <w:color w:val="1D1D1D"/>
          <w:sz w:val="24"/>
          <w:szCs w:val="24"/>
          <w:shd w:val="clear" w:color="auto" w:fill="FFFFFF"/>
        </w:rPr>
      </w:pPr>
    </w:p>
    <w:p w:rsidR="00A02318" w:rsidRDefault="001D7A90" w:rsidP="00A02318">
      <w:pPr>
        <w:ind w:right="283"/>
        <w:rPr>
          <w:rFonts w:cs="Times New Roman"/>
          <w:color w:val="1D1D1D"/>
          <w:sz w:val="16"/>
          <w:szCs w:val="16"/>
          <w:shd w:val="clear" w:color="auto" w:fill="FFFFFF"/>
        </w:rPr>
      </w:pPr>
      <w:r w:rsidRPr="001D7A90">
        <w:rPr>
          <w:rFonts w:cs="Times New Roman"/>
          <w:color w:val="1D1D1D"/>
          <w:sz w:val="24"/>
          <w:szCs w:val="24"/>
          <w:shd w:val="clear" w:color="auto" w:fill="FFFFFF"/>
        </w:rPr>
        <w:t>*</w:t>
      </w:r>
      <w:r w:rsidR="007D1D87" w:rsidRPr="00A02318">
        <w:rPr>
          <w:rFonts w:cs="Times New Roman"/>
          <w:color w:val="1D1D1D"/>
          <w:sz w:val="16"/>
          <w:szCs w:val="16"/>
          <w:shd w:val="clear" w:color="auto" w:fill="FFFFFF"/>
        </w:rPr>
        <w:t>Образовательная организация не реализует основные профессиональные образовательные программы среднего профессионального и высшего образования, поэтому не публикует сведения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образования, каждой научной специальности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отчисления, о трудоустройстве выпускников в виде численности трудоустроенных выпускников прошлого учебного года, освоивших основные профессиональные образовательные программы среднего профессионального и высшего образования, по каждой профессии, специальности, в том числе научной, направлению подготовки или укрупненной группе профессий, специальностей и направлений</w:t>
      </w:r>
      <w:r w:rsidR="00A02318">
        <w:rPr>
          <w:rFonts w:cs="Times New Roman"/>
          <w:color w:val="1D1D1D"/>
          <w:sz w:val="16"/>
          <w:szCs w:val="16"/>
          <w:shd w:val="clear" w:color="auto" w:fill="FFFFFF"/>
        </w:rPr>
        <w:t xml:space="preserve"> подготовки</w:t>
      </w:r>
    </w:p>
    <w:p w:rsidR="00A02318" w:rsidRDefault="00A02318" w:rsidP="00A02318">
      <w:pPr>
        <w:rPr>
          <w:rFonts w:cs="Times New Roman"/>
          <w:color w:val="1D1D1D"/>
          <w:sz w:val="16"/>
          <w:szCs w:val="16"/>
          <w:shd w:val="clear" w:color="auto" w:fill="FFFFFF"/>
        </w:rPr>
      </w:pPr>
    </w:p>
    <w:p w:rsidR="00A02318" w:rsidRDefault="00A02318" w:rsidP="00A02318">
      <w:pPr>
        <w:rPr>
          <w:rFonts w:cs="Times New Roman"/>
          <w:color w:val="1D1D1D"/>
          <w:sz w:val="16"/>
          <w:szCs w:val="16"/>
          <w:shd w:val="clear" w:color="auto" w:fill="FFFFFF"/>
        </w:rPr>
      </w:pPr>
    </w:p>
    <w:p w:rsidR="00A02318" w:rsidRDefault="00A02318">
      <w:pPr>
        <w:rPr>
          <w:rFonts w:cs="Times New Roman"/>
          <w:b/>
          <w:szCs w:val="28"/>
        </w:rPr>
      </w:pPr>
    </w:p>
    <w:p w:rsidR="00A02318" w:rsidRPr="00A02318" w:rsidRDefault="00A02318">
      <w:pPr>
        <w:rPr>
          <w:rFonts w:cs="Times New Roman"/>
          <w:b/>
          <w:szCs w:val="28"/>
        </w:rPr>
      </w:pPr>
    </w:p>
    <w:sectPr w:rsidR="00A02318" w:rsidRPr="00A02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D87"/>
    <w:rsid w:val="001D7A90"/>
    <w:rsid w:val="00435A06"/>
    <w:rsid w:val="007D1D87"/>
    <w:rsid w:val="007F1A40"/>
    <w:rsid w:val="00887F35"/>
    <w:rsid w:val="00927E03"/>
    <w:rsid w:val="00A02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895F05-7B95-44C0-B800-7AB8EA85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A06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С интервалом"/>
    <w:basedOn w:val="a"/>
    <w:uiPriority w:val="1"/>
    <w:qFormat/>
    <w:rsid w:val="00435A06"/>
    <w:pPr>
      <w:spacing w:after="120"/>
    </w:pPr>
  </w:style>
  <w:style w:type="table" w:styleId="a4">
    <w:name w:val="Table Grid"/>
    <w:basedOn w:val="a1"/>
    <w:uiPriority w:val="39"/>
    <w:rsid w:val="007D1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7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Барашков Владимир</dc:creator>
  <cp:keywords/>
  <dc:description/>
  <cp:lastModifiedBy>Барашков Владимир</cp:lastModifiedBy>
  <cp:revision>4</cp:revision>
  <dcterms:created xsi:type="dcterms:W3CDTF">2025-03-21T12:01:00Z</dcterms:created>
  <dcterms:modified xsi:type="dcterms:W3CDTF">2025-03-21T13:27:00Z</dcterms:modified>
</cp:coreProperties>
</file>