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</w:p>
    <w:p w14:paraId="02000000">
      <w:pPr>
        <w:pStyle w:val="Style_2"/>
        <w:widowControl w:val="1"/>
        <w:spacing w:before="120"/>
        <w:ind w:firstLine="567"/>
        <w:jc w:val="center"/>
        <w:rPr>
          <w:rFonts w:ascii="Arial" w:hAnsi="Arial"/>
        </w:rPr>
      </w:pPr>
      <w:r>
        <w:rPr>
          <w:rFonts w:ascii="Arial" w:hAnsi="Arial"/>
        </w:rPr>
        <w:t>МИНИСТЕРСТВО РОССИЙСКОЙ ФЕДЕРАЦИИ ПО ДЕЛАМ ГРАЖДАНСКОЙ</w:t>
      </w:r>
    </w:p>
    <w:p w14:paraId="03000000">
      <w:pPr>
        <w:pStyle w:val="Style_2"/>
        <w:widowControl w:val="1"/>
        <w:spacing w:before="120"/>
        <w:ind w:firstLine="567"/>
        <w:jc w:val="center"/>
        <w:rPr>
          <w:rFonts w:ascii="Arial" w:hAnsi="Arial"/>
        </w:rPr>
      </w:pPr>
      <w:r>
        <w:rPr>
          <w:rFonts w:ascii="Arial" w:hAnsi="Arial"/>
        </w:rPr>
        <w:t>ОБОРОНЫ, ЧРЕЗВЫЧАЙНЫМ СИТУАЦИЯМ И ЛИКВИДАЦИИ</w:t>
      </w:r>
    </w:p>
    <w:p w14:paraId="04000000">
      <w:pPr>
        <w:pStyle w:val="Style_2"/>
        <w:widowControl w:val="1"/>
        <w:spacing w:before="120"/>
        <w:ind w:firstLine="567"/>
        <w:jc w:val="center"/>
        <w:rPr>
          <w:rFonts w:ascii="Arial" w:hAnsi="Arial"/>
        </w:rPr>
      </w:pPr>
      <w:r>
        <w:rPr>
          <w:rFonts w:ascii="Arial" w:hAnsi="Arial"/>
        </w:rPr>
        <w:t>ПОСЛЕДСТВИЙ СТИХИЙНЫХ БЕДСТВИЙ</w:t>
      </w:r>
    </w:p>
    <w:p w14:paraId="05000000">
      <w:pPr>
        <w:pStyle w:val="Style_2"/>
        <w:widowControl w:val="1"/>
        <w:spacing w:before="120"/>
        <w:ind w:firstLine="567"/>
        <w:jc w:val="center"/>
        <w:rPr>
          <w:rFonts w:ascii="Arial" w:hAnsi="Arial"/>
        </w:rPr>
      </w:pPr>
    </w:p>
    <w:p w14:paraId="06000000">
      <w:pPr>
        <w:pStyle w:val="Style_2"/>
        <w:widowControl w:val="1"/>
        <w:spacing w:before="120"/>
        <w:ind w:firstLine="567"/>
        <w:jc w:val="center"/>
        <w:rPr>
          <w:rFonts w:ascii="Arial" w:hAnsi="Arial"/>
        </w:rPr>
      </w:pPr>
      <w:r>
        <w:rPr>
          <w:rFonts w:ascii="Arial" w:hAnsi="Arial"/>
        </w:rPr>
        <w:t>ПИСЬМО</w:t>
      </w:r>
    </w:p>
    <w:p w14:paraId="07000000">
      <w:pPr>
        <w:pStyle w:val="Style_2"/>
        <w:widowControl w:val="1"/>
        <w:spacing w:before="120"/>
        <w:ind w:firstLine="567"/>
        <w:jc w:val="center"/>
        <w:rPr>
          <w:rFonts w:ascii="Arial" w:hAnsi="Arial"/>
        </w:rPr>
      </w:pPr>
      <w:r>
        <w:rPr>
          <w:rFonts w:ascii="Arial" w:hAnsi="Arial"/>
        </w:rPr>
        <w:t>от 27 февраля 2020 г. N 11-7-605</w:t>
      </w:r>
    </w:p>
    <w:p w14:paraId="08000000">
      <w:pPr>
        <w:pStyle w:val="Style_2"/>
        <w:widowControl w:val="1"/>
        <w:spacing w:before="120"/>
        <w:ind w:firstLine="567"/>
        <w:jc w:val="center"/>
        <w:rPr>
          <w:rFonts w:ascii="Arial" w:hAnsi="Arial"/>
        </w:rPr>
      </w:pPr>
    </w:p>
    <w:p w14:paraId="09000000">
      <w:pPr>
        <w:pStyle w:val="Style_2"/>
        <w:widowControl w:val="1"/>
        <w:spacing w:before="120"/>
        <w:ind w:firstLine="567"/>
        <w:jc w:val="center"/>
        <w:rPr>
          <w:rFonts w:ascii="Arial" w:hAnsi="Arial"/>
        </w:rPr>
      </w:pPr>
      <w:r>
        <w:rPr>
          <w:rFonts w:ascii="Arial" w:hAnsi="Arial"/>
        </w:rPr>
        <w:t>О ПРИМЕРНОМ ПОРЯДКЕ</w:t>
      </w:r>
    </w:p>
    <w:p w14:paraId="0A000000">
      <w:pPr>
        <w:pStyle w:val="Style_2"/>
        <w:widowControl w:val="1"/>
        <w:spacing w:before="120"/>
        <w:ind w:firstLine="567"/>
        <w:jc w:val="center"/>
        <w:rPr>
          <w:rFonts w:ascii="Arial" w:hAnsi="Arial"/>
        </w:rPr>
      </w:pPr>
      <w:r>
        <w:rPr>
          <w:rFonts w:ascii="Arial" w:hAnsi="Arial"/>
        </w:rPr>
        <w:t>РЕАЛИЗАЦИИ ВВОДНОГО ИНСТРУКТАЖА ПО ГО</w:t>
      </w:r>
    </w:p>
    <w:p w14:paraId="0B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</w:p>
    <w:p w14:paraId="0C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fldChar w:fldCharType="begin"/>
      </w:r>
      <w:r>
        <w:rPr>
          <w:rFonts w:ascii="Arial" w:hAnsi="Arial"/>
        </w:rPr>
        <w:instrText>HYPERLINK "consultantplus://offline/ref=76F4D215FAB3266DC67904484B65DBACD1C354DC36C4C65A960E5D872F0EC22DA914186498EE2E58B1D117ECC50E3B53BF04B75479AD0B54A4P3B"</w:instrText>
      </w:r>
      <w:r>
        <w:rPr>
          <w:rFonts w:ascii="Arial" w:hAnsi="Arial"/>
        </w:rPr>
        <w:fldChar w:fldCharType="separate"/>
      </w:r>
      <w:r>
        <w:rPr>
          <w:rFonts w:ascii="Arial" w:hAnsi="Arial"/>
        </w:rPr>
        <w:t>Пунктом 1 статьи 9</w:t>
      </w:r>
      <w:r>
        <w:rPr>
          <w:rFonts w:ascii="Arial" w:hAnsi="Arial"/>
        </w:rPr>
        <w:fldChar w:fldCharType="end"/>
      </w:r>
      <w:r>
        <w:rPr>
          <w:rFonts w:ascii="Arial" w:hAnsi="Arial"/>
        </w:rPr>
        <w:t xml:space="preserve"> Федерального закона N 28-ФЗ "О гражданской обороне", </w:t>
      </w:r>
      <w:r>
        <w:rPr>
          <w:rFonts w:ascii="Arial" w:hAnsi="Arial"/>
        </w:rPr>
        <w:fldChar w:fldCharType="begin"/>
      </w:r>
      <w:r>
        <w:rPr>
          <w:rFonts w:ascii="Arial" w:hAnsi="Arial"/>
        </w:rPr>
        <w:instrText>HYPERLINK "consultantplus://offline/ref=76F4D215FAB3266DC67904484B65DBACD1C257DD38C5C65A960E5D872F0EC22DA914186498EE2F5ABCD117ECC50E3B53BF04B75479AD0B54A4P3B"</w:instrText>
      </w:r>
      <w:r>
        <w:rPr>
          <w:rFonts w:ascii="Arial" w:hAnsi="Arial"/>
        </w:rPr>
        <w:fldChar w:fldCharType="separate"/>
      </w:r>
      <w:r>
        <w:rPr>
          <w:rFonts w:ascii="Arial" w:hAnsi="Arial"/>
        </w:rPr>
        <w:t>подпунктом "г" пункта 5</w:t>
      </w:r>
      <w:r>
        <w:rPr>
          <w:rFonts w:ascii="Arial" w:hAnsi="Arial"/>
        </w:rPr>
        <w:fldChar w:fldCharType="end"/>
      </w:r>
      <w:r>
        <w:rPr>
          <w:rFonts w:ascii="Arial" w:hAnsi="Arial"/>
        </w:rPr>
        <w:t xml:space="preserve"> Положения о подготовке населения в области гражданской обороны (постановление Правительства РФ от 02.11.2000 N 841 (ред. от 30.09.2019), </w:t>
      </w:r>
      <w:r>
        <w:rPr>
          <w:rFonts w:ascii="Arial" w:hAnsi="Arial"/>
        </w:rPr>
        <w:fldChar w:fldCharType="begin"/>
      </w:r>
      <w:r>
        <w:rPr>
          <w:rFonts w:ascii="Arial" w:hAnsi="Arial"/>
        </w:rPr>
        <w:instrText>HYPERLINK "consultantplus://offline/ref=76F4D215FAB3266DC67904484B65DBACD1C856D230C1C65A960E5D872F0EC22DA914186498EE2F5DBDD117ECC50E3B53BF04B75479AD0B54A4P3B"</w:instrText>
      </w:r>
      <w:r>
        <w:rPr>
          <w:rFonts w:ascii="Arial" w:hAnsi="Arial"/>
        </w:rPr>
        <w:fldChar w:fldCharType="separate"/>
      </w:r>
      <w:r>
        <w:rPr>
          <w:rFonts w:ascii="Arial" w:hAnsi="Arial"/>
        </w:rPr>
        <w:t>пунктом 7</w:t>
      </w:r>
      <w:r>
        <w:rPr>
          <w:rFonts w:ascii="Arial" w:hAnsi="Arial"/>
        </w:rPr>
        <w:fldChar w:fldCharType="end"/>
      </w:r>
      <w:r>
        <w:rPr>
          <w:rFonts w:ascii="Arial" w:hAnsi="Arial"/>
        </w:rPr>
        <w:t xml:space="preserve"> Положения о гражданской обороне в Российской Федерации (постановление Правительства РФ от 26.11.2007 N 804 (ред. от 30.09.2019) и </w:t>
      </w:r>
      <w:r>
        <w:rPr>
          <w:rFonts w:ascii="Arial" w:hAnsi="Arial"/>
        </w:rPr>
        <w:fldChar w:fldCharType="begin"/>
      </w:r>
      <w:r>
        <w:rPr>
          <w:rFonts w:ascii="Arial" w:hAnsi="Arial"/>
        </w:rPr>
        <w:instrText>HYPERLINK "consultantplus://offline/ref=76F4D215FAB3266DC67904484B65DBACD6CB5BDC31CAC65A960E5D872F0EC22DA91418669AE57A0EF18F4EBD87453656A718B753A6P5B"</w:instrText>
      </w:r>
      <w:r>
        <w:rPr>
          <w:rFonts w:ascii="Arial" w:hAnsi="Arial"/>
        </w:rPr>
        <w:fldChar w:fldCharType="separate"/>
      </w:r>
      <w:r>
        <w:rPr>
          <w:rFonts w:ascii="Arial" w:hAnsi="Arial"/>
        </w:rPr>
        <w:t>пунктом 16.1</w:t>
      </w:r>
      <w:r>
        <w:rPr>
          <w:rFonts w:ascii="Arial" w:hAnsi="Arial"/>
        </w:rPr>
        <w:fldChar w:fldCharType="end"/>
      </w:r>
      <w:r>
        <w:rPr>
          <w:rFonts w:ascii="Arial" w:hAnsi="Arial"/>
        </w:rPr>
        <w:t xml:space="preserve"> Положения об организации и ведении</w:t>
      </w:r>
      <w:r>
        <w:rPr>
          <w:rFonts w:ascii="Arial" w:hAnsi="Arial"/>
        </w:rPr>
        <w:t xml:space="preserve"> гражданской обороны в муниципальных образованиях и организациях (Приказ МЧС России от 14.11.2008 N 687 (ред. от 01.08.2016), зарегистрирован в Минюсте России 26.11.2008 N 12740) установлены требования по организации и проведению вводного инструктажа по гражданской обороне.</w:t>
      </w:r>
    </w:p>
    <w:p w14:paraId="0D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 xml:space="preserve">В целях разъяснения указанных положений нормативных правовых актов настоящим письмом МЧС России доводит Примерный </w:t>
      </w:r>
      <w:r>
        <w:rPr>
          <w:rFonts w:ascii="Arial" w:hAnsi="Arial"/>
        </w:rPr>
        <w:fldChar w:fldCharType="begin"/>
      </w:r>
      <w:r>
        <w:rPr>
          <w:rFonts w:ascii="Arial" w:hAnsi="Arial"/>
        </w:rPr>
        <w:instrText>HYPERLINK \l "P28"</w:instrText>
      </w:r>
      <w:r>
        <w:rPr>
          <w:rFonts w:ascii="Arial" w:hAnsi="Arial"/>
        </w:rPr>
        <w:fldChar w:fldCharType="separate"/>
      </w:r>
      <w:r>
        <w:rPr>
          <w:rFonts w:ascii="Arial" w:hAnsi="Arial"/>
        </w:rPr>
        <w:t>порядок</w:t>
      </w:r>
      <w:r>
        <w:rPr>
          <w:rFonts w:ascii="Arial" w:hAnsi="Arial"/>
        </w:rPr>
        <w:fldChar w:fldCharType="end"/>
      </w:r>
      <w:r>
        <w:rPr>
          <w:rFonts w:ascii="Arial" w:hAnsi="Arial"/>
        </w:rPr>
        <w:t xml:space="preserve"> реализации вводного инструктажа по гражданской обороне (далее - Порядок) (прилагается).</w:t>
      </w:r>
    </w:p>
    <w:p w14:paraId="0E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 xml:space="preserve">Представленный </w:t>
      </w:r>
      <w:r>
        <w:rPr>
          <w:rFonts w:ascii="Arial" w:hAnsi="Arial"/>
        </w:rPr>
        <w:fldChar w:fldCharType="begin"/>
      </w:r>
      <w:r>
        <w:rPr>
          <w:rFonts w:ascii="Arial" w:hAnsi="Arial"/>
        </w:rPr>
        <w:instrText>HYPERLINK \l "P28"</w:instrText>
      </w:r>
      <w:r>
        <w:rPr>
          <w:rFonts w:ascii="Arial" w:hAnsi="Arial"/>
        </w:rPr>
        <w:fldChar w:fldCharType="separate"/>
      </w:r>
      <w:r>
        <w:rPr>
          <w:rFonts w:ascii="Arial" w:hAnsi="Arial"/>
        </w:rPr>
        <w:t>Порядок</w:t>
      </w:r>
      <w:r>
        <w:rPr>
          <w:rFonts w:ascii="Arial" w:hAnsi="Arial"/>
        </w:rPr>
        <w:fldChar w:fldCharType="end"/>
      </w:r>
      <w:r>
        <w:rPr>
          <w:rFonts w:ascii="Arial" w:hAnsi="Arial"/>
        </w:rPr>
        <w:t xml:space="preserve"> не содержит обязательных предписаний и доводится в рамках реализации МЧС России функции методического руководства при решении вопросов по подготовке населения в области гражданской обороны.</w:t>
      </w:r>
    </w:p>
    <w:p w14:paraId="0F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fldChar w:fldCharType="begin"/>
      </w:r>
      <w:r>
        <w:rPr>
          <w:rFonts w:ascii="Arial" w:hAnsi="Arial"/>
        </w:rPr>
        <w:instrText>HYPERLINK \l "P28"</w:instrText>
      </w:r>
      <w:r>
        <w:rPr>
          <w:rFonts w:ascii="Arial" w:hAnsi="Arial"/>
        </w:rPr>
        <w:fldChar w:fldCharType="separate"/>
      </w:r>
      <w:r>
        <w:rPr>
          <w:rFonts w:ascii="Arial" w:hAnsi="Arial"/>
        </w:rPr>
        <w:t>Порядок</w:t>
      </w:r>
      <w:r>
        <w:rPr>
          <w:rFonts w:ascii="Arial" w:hAnsi="Arial"/>
        </w:rPr>
        <w:fldChar w:fldCharType="end"/>
      </w:r>
      <w:r>
        <w:rPr>
          <w:rFonts w:ascii="Arial" w:hAnsi="Arial"/>
        </w:rPr>
        <w:t xml:space="preserve"> может применяться организациями при осуществлении подготовки работающего населения.</w:t>
      </w:r>
    </w:p>
    <w:p w14:paraId="10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</w:p>
    <w:p w14:paraId="11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Директор Департамента</w:t>
      </w:r>
    </w:p>
    <w:p w14:paraId="12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гражданской обороны и защиты населения</w:t>
      </w:r>
    </w:p>
    <w:p w14:paraId="13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О.Л.МАНУЙЛО</w:t>
      </w:r>
    </w:p>
    <w:p w14:paraId="14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</w:p>
    <w:p w14:paraId="15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</w:p>
    <w:p w14:paraId="16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</w:p>
    <w:p w14:paraId="17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</w:p>
    <w:p w14:paraId="18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</w:p>
    <w:p w14:paraId="19000000">
      <w:pPr>
        <w:pStyle w:val="Style_1"/>
        <w:widowControl w:val="1"/>
        <w:spacing w:before="120"/>
        <w:ind w:firstLine="567"/>
        <w:jc w:val="right"/>
        <w:rPr>
          <w:rFonts w:ascii="Arial" w:hAnsi="Arial"/>
        </w:rPr>
      </w:pPr>
    </w:p>
    <w:p w14:paraId="1A000000">
      <w:pPr>
        <w:pStyle w:val="Style_1"/>
        <w:widowControl w:val="1"/>
        <w:spacing w:before="120"/>
        <w:ind w:firstLine="567"/>
        <w:jc w:val="right"/>
        <w:rPr>
          <w:rFonts w:ascii="Arial" w:hAnsi="Arial"/>
        </w:rPr>
      </w:pPr>
    </w:p>
    <w:p w14:paraId="1B000000">
      <w:pPr>
        <w:pStyle w:val="Style_1"/>
        <w:widowControl w:val="1"/>
        <w:spacing w:before="120"/>
        <w:ind w:firstLine="567"/>
        <w:jc w:val="right"/>
        <w:rPr>
          <w:rFonts w:ascii="Arial" w:hAnsi="Arial"/>
        </w:rPr>
      </w:pPr>
    </w:p>
    <w:p w14:paraId="1C000000">
      <w:pPr>
        <w:pStyle w:val="Style_1"/>
        <w:widowControl w:val="1"/>
        <w:spacing w:before="120"/>
        <w:ind w:firstLine="567"/>
        <w:jc w:val="right"/>
        <w:rPr>
          <w:rFonts w:ascii="Arial" w:hAnsi="Arial"/>
        </w:rPr>
      </w:pPr>
    </w:p>
    <w:p w14:paraId="1D000000">
      <w:pPr>
        <w:pStyle w:val="Style_1"/>
        <w:widowControl w:val="1"/>
        <w:spacing w:before="120"/>
        <w:ind w:firstLine="567"/>
        <w:jc w:val="right"/>
        <w:rPr>
          <w:rFonts w:ascii="Arial" w:hAnsi="Arial"/>
        </w:rPr>
      </w:pPr>
    </w:p>
    <w:p w14:paraId="1E000000">
      <w:pPr>
        <w:pStyle w:val="Style_1"/>
        <w:widowControl w:val="1"/>
        <w:spacing w:before="120"/>
        <w:ind w:firstLine="567"/>
        <w:jc w:val="right"/>
        <w:rPr>
          <w:rFonts w:ascii="Arial" w:hAnsi="Arial"/>
        </w:rPr>
      </w:pPr>
    </w:p>
    <w:p w14:paraId="1F000000">
      <w:pPr>
        <w:pStyle w:val="Style_1"/>
        <w:widowControl w:val="1"/>
        <w:spacing w:before="120"/>
        <w:ind w:firstLine="567"/>
        <w:jc w:val="right"/>
        <w:rPr>
          <w:rFonts w:ascii="Arial" w:hAnsi="Arial"/>
        </w:rPr>
      </w:pPr>
      <w:r>
        <w:rPr>
          <w:rFonts w:ascii="Arial" w:hAnsi="Arial"/>
        </w:rPr>
        <w:t>Приложение</w:t>
      </w:r>
    </w:p>
    <w:p w14:paraId="20000000">
      <w:pPr>
        <w:pStyle w:val="Style_1"/>
        <w:widowControl w:val="1"/>
        <w:spacing w:before="120"/>
        <w:ind w:firstLine="567"/>
        <w:jc w:val="right"/>
        <w:rPr>
          <w:rFonts w:ascii="Arial" w:hAnsi="Arial"/>
        </w:rPr>
      </w:pPr>
      <w:r>
        <w:rPr>
          <w:rFonts w:ascii="Arial" w:hAnsi="Arial"/>
        </w:rPr>
        <w:t>к письму МЧС России</w:t>
      </w:r>
    </w:p>
    <w:p w14:paraId="21000000">
      <w:pPr>
        <w:pStyle w:val="Style_1"/>
        <w:widowControl w:val="1"/>
        <w:spacing w:before="120"/>
        <w:ind w:firstLine="567"/>
        <w:jc w:val="right"/>
        <w:rPr>
          <w:rFonts w:ascii="Arial" w:hAnsi="Arial"/>
        </w:rPr>
      </w:pPr>
      <w:r>
        <w:rPr>
          <w:rFonts w:ascii="Arial" w:hAnsi="Arial"/>
        </w:rPr>
        <w:t>от 27.02.2020 N 11-7-605</w:t>
      </w:r>
    </w:p>
    <w:p w14:paraId="22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</w:p>
    <w:p w14:paraId="23000000">
      <w:pPr>
        <w:pStyle w:val="Style_2"/>
        <w:widowControl w:val="1"/>
        <w:spacing w:before="120"/>
        <w:ind w:firstLine="567"/>
        <w:jc w:val="center"/>
        <w:rPr>
          <w:rFonts w:ascii="Arial" w:hAnsi="Arial"/>
        </w:rPr>
      </w:pPr>
      <w:bookmarkStart w:id="1" w:name="P28"/>
      <w:bookmarkEnd w:id="1"/>
      <w:r>
        <w:rPr>
          <w:rFonts w:ascii="Arial" w:hAnsi="Arial"/>
        </w:rPr>
        <w:t>ПРИМЕРНЫЙ ПОРЯДОК</w:t>
      </w:r>
    </w:p>
    <w:p w14:paraId="24000000">
      <w:pPr>
        <w:pStyle w:val="Style_2"/>
        <w:widowControl w:val="1"/>
        <w:spacing w:before="120"/>
        <w:ind w:firstLine="567"/>
        <w:jc w:val="center"/>
        <w:rPr>
          <w:rFonts w:ascii="Arial" w:hAnsi="Arial"/>
        </w:rPr>
      </w:pPr>
      <w:r>
        <w:rPr>
          <w:rFonts w:ascii="Arial" w:hAnsi="Arial"/>
        </w:rPr>
        <w:t>РЕАЛИЗАЦИИ ВВОДНОГО ИНСТРУКТАЖА ПО ГРАЖДАНСКОЙ ОБОРОНЕ</w:t>
      </w:r>
    </w:p>
    <w:p w14:paraId="25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</w:p>
    <w:p w14:paraId="26000000">
      <w:pPr>
        <w:pStyle w:val="Style_2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1. Общие положения</w:t>
      </w:r>
    </w:p>
    <w:p w14:paraId="27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 xml:space="preserve">1.1. Вводный инструктаж работников организаций по гражданской обороне (далее - вводный инструктаж по ГО) проводится в организациях на основании требований </w:t>
      </w:r>
      <w:r>
        <w:rPr>
          <w:rFonts w:ascii="Arial" w:hAnsi="Arial"/>
        </w:rPr>
        <w:fldChar w:fldCharType="begin"/>
      </w:r>
      <w:r>
        <w:rPr>
          <w:rFonts w:ascii="Arial" w:hAnsi="Arial"/>
        </w:rPr>
        <w:instrText>HYPERLINK "consultantplus://offline/ref=76F4D215FAB3266DC67904484B65DBACD1C257DD38C5C65A960E5D872F0EC22DA914186498EE2F5ABCD117ECC50E3B53BF04B75479AD0B54A4P3B"</w:instrText>
      </w:r>
      <w:r>
        <w:rPr>
          <w:rFonts w:ascii="Arial" w:hAnsi="Arial"/>
        </w:rPr>
        <w:fldChar w:fldCharType="separate"/>
      </w:r>
      <w:r>
        <w:rPr>
          <w:rFonts w:ascii="Arial" w:hAnsi="Arial"/>
        </w:rPr>
        <w:t>постановлений</w:t>
      </w:r>
      <w:r>
        <w:rPr>
          <w:rFonts w:ascii="Arial" w:hAnsi="Arial"/>
        </w:rPr>
        <w:fldChar w:fldCharType="end"/>
      </w:r>
      <w:r>
        <w:rPr>
          <w:rFonts w:ascii="Arial" w:hAnsi="Arial"/>
        </w:rPr>
        <w:t xml:space="preserve"> Правительства Российской Федерации от 2 ноября 2000 года N 841 "Об утверждении положения о подготовке населения в области гражданской обороны".</w:t>
      </w:r>
    </w:p>
    <w:p w14:paraId="28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 xml:space="preserve">1.2. </w:t>
      </w:r>
      <w:r>
        <w:rPr>
          <w:rFonts w:ascii="Arial" w:hAnsi="Arial"/>
        </w:rPr>
        <w:t>Вводный инструктаж по ГО - это форма подготовки работающего населения в области гражданской обороны (далее - ГО), осуществляемая работодателем, направленная на ознакомление нанимаемых работников с информацией о наиболее вероятных опасностях, возникающих при военных конфликтах или вследствие этих конфликтов, при чрезвычайных ситуациях (далее - ЧС) природного и техногенного характера, с учетом особенностей деятельности и месторасположения организации работодателя, а также основ защиты от этих опасностей</w:t>
      </w:r>
      <w:r>
        <w:rPr>
          <w:rFonts w:ascii="Arial" w:hAnsi="Arial"/>
        </w:rPr>
        <w:t xml:space="preserve">, </w:t>
      </w:r>
      <w:r>
        <w:rPr>
          <w:rFonts w:ascii="Arial" w:hAnsi="Arial"/>
        </w:rPr>
        <w:t>установленных</w:t>
      </w:r>
      <w:r>
        <w:rPr>
          <w:rFonts w:ascii="Arial" w:hAnsi="Arial"/>
        </w:rPr>
        <w:t xml:space="preserve"> в организации.</w:t>
      </w:r>
    </w:p>
    <w:p w14:paraId="29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1.3. Вводный инструктаж по ГО проводится с целью доведения до работников организации:</w:t>
      </w:r>
    </w:p>
    <w:p w14:paraId="2A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прав и обязанностей работников в области ГО и защиты от ЧС природного и техногенного характера;</w:t>
      </w:r>
    </w:p>
    <w:p w14:paraId="2B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возможных опасностей, возникающих при военных конфликтах или вследствие этих конфликтов, а также при ЧС природного и техногенного характера;</w:t>
      </w:r>
    </w:p>
    <w:p w14:paraId="2C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основных требований по выполнению мероприятий ГО и защиты от ЧС природного и техногенного характера;</w:t>
      </w:r>
    </w:p>
    <w:p w14:paraId="2D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способов защиты от опасностей, возникающих при военных конфликтах или вследствие этих конфликтов, а также при ЧС природного и техногенного характера;</w:t>
      </w:r>
    </w:p>
    <w:p w14:paraId="2E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порядка действий по сигналам оповещения;</w:t>
      </w:r>
    </w:p>
    <w:p w14:paraId="2F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правил поведения и действий при возникновении ЧС природного и техногенного характера и выполнении мероприятий ГО;</w:t>
      </w:r>
    </w:p>
    <w:p w14:paraId="30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информации об ответственности за нарушения требований в области ГО и защиты от ЧС природного и техногенного характера.</w:t>
      </w:r>
    </w:p>
    <w:p w14:paraId="31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1.4. Вводный инструктаж по ГО проводится в организациях, зарегистрированных в установленном порядке и использующих в своей деятельности наемный труд (работников).</w:t>
      </w:r>
    </w:p>
    <w:p w14:paraId="32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1.5. Вводный инструктаж по ГО проходят:</w:t>
      </w:r>
    </w:p>
    <w:p w14:paraId="33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вновь принятые на работу лица, независимо от их образования, трудового стажа по профессии (должности), гражданства;</w:t>
      </w:r>
    </w:p>
    <w:p w14:paraId="34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лица, командированные в организацию на срок более 30 календарных дней.</w:t>
      </w:r>
    </w:p>
    <w:p w14:paraId="35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 xml:space="preserve">1.6. Вводный инструктаж по ГО проводится в период, не превышающий 30 календарных дней </w:t>
      </w:r>
      <w:r>
        <w:rPr>
          <w:rFonts w:ascii="Arial" w:hAnsi="Arial"/>
        </w:rPr>
        <w:t>с даты</w:t>
      </w:r>
      <w:r>
        <w:rPr>
          <w:rFonts w:ascii="Arial" w:hAnsi="Arial"/>
        </w:rPr>
        <w:t xml:space="preserve"> фактического начала трудовой деятельности (пребывания в организации) работника (командированного лица).</w:t>
      </w:r>
    </w:p>
    <w:p w14:paraId="36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 xml:space="preserve">1.7. Информация о трудоустройстве новых работников или прибытия в организацию командированных лиц доводится под роспись лицу, ответственному за проведение </w:t>
      </w:r>
      <w:r>
        <w:rPr>
          <w:rFonts w:ascii="Arial" w:hAnsi="Arial"/>
        </w:rPr>
        <w:t xml:space="preserve">вводного инструктажа по ГО, кадровым органом в срок, не превышающий 7 календарных дней </w:t>
      </w:r>
      <w:r>
        <w:rPr>
          <w:rFonts w:ascii="Arial" w:hAnsi="Arial"/>
        </w:rPr>
        <w:t>с даты</w:t>
      </w:r>
      <w:r>
        <w:rPr>
          <w:rFonts w:ascii="Arial" w:hAnsi="Arial"/>
        </w:rPr>
        <w:t xml:space="preserve"> фактического начала трудовой деятельности (пребывания в организации) работника (командированного лица).</w:t>
      </w:r>
    </w:p>
    <w:p w14:paraId="37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</w:p>
    <w:p w14:paraId="38000000">
      <w:pPr>
        <w:pStyle w:val="Style_2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2. Организация и проведение вводного инструктажа по гражданской обороне</w:t>
      </w:r>
    </w:p>
    <w:p w14:paraId="39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2.1. В целях проведения с работниками вводного инструктажа по ГО в организации рекомендуется назначить ответственное лицо, разработать и утвердить программу проведения вводного инструктажа, а также форму журнала учета его прохождения.</w:t>
      </w:r>
    </w:p>
    <w:p w14:paraId="3A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2.2. Лицо, ответственное за проведение инструктажа по ГО, рекомендуется назначить приказом (распоряжением) руководителя организации из числа</w:t>
      </w:r>
      <w:r>
        <w:rPr>
          <w:rFonts w:ascii="Arial" w:hAnsi="Arial"/>
        </w:rPr>
        <w:t>:</w:t>
      </w:r>
    </w:p>
    <w:p w14:paraId="3B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 xml:space="preserve">- </w:t>
      </w:r>
      <w:r>
        <w:rPr>
          <w:rFonts w:ascii="Arial" w:hAnsi="Arial"/>
        </w:rPr>
        <w:t xml:space="preserve"> работников, уполномоченных на решение задач в области ГО и (или) защиты от ЧС природного и техногенного характера, </w:t>
      </w:r>
    </w:p>
    <w:p w14:paraId="3C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 xml:space="preserve">- </w:t>
      </w:r>
      <w:r>
        <w:rPr>
          <w:rFonts w:ascii="Arial" w:hAnsi="Arial"/>
        </w:rPr>
        <w:t xml:space="preserve">руководителей занятий по ГО, </w:t>
      </w:r>
    </w:p>
    <w:p w14:paraId="3D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 xml:space="preserve">- </w:t>
      </w:r>
      <w:r>
        <w:rPr>
          <w:rFonts w:ascii="Arial" w:hAnsi="Arial"/>
        </w:rPr>
        <w:t>либо осуществлять инструктаж непосредственно руководителем организации при условии прохождения им соответствующей подготовки.</w:t>
      </w:r>
    </w:p>
    <w:p w14:paraId="3E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bookmarkStart w:id="2" w:name="P52"/>
      <w:bookmarkEnd w:id="2"/>
      <w:r>
        <w:rPr>
          <w:rFonts w:ascii="Arial" w:hAnsi="Arial"/>
        </w:rPr>
        <w:t>2.3. Программу проведения вводного инструктажа по ГО работников организации и журнал учета прохождения вводного инструктажа целесообразно разрабатывать на основании соответственно Примерной программы вводного инструктажа по ГО (</w:t>
      </w:r>
      <w:r>
        <w:rPr>
          <w:rFonts w:ascii="Arial" w:hAnsi="Arial"/>
        </w:rPr>
        <w:fldChar w:fldCharType="begin"/>
      </w:r>
      <w:r>
        <w:rPr>
          <w:rFonts w:ascii="Arial" w:hAnsi="Arial"/>
        </w:rPr>
        <w:instrText>HYPERLINK \l "P92"</w:instrText>
      </w:r>
      <w:r>
        <w:rPr>
          <w:rFonts w:ascii="Arial" w:hAnsi="Arial"/>
        </w:rPr>
        <w:fldChar w:fldCharType="separate"/>
      </w:r>
      <w:r>
        <w:rPr>
          <w:rFonts w:ascii="Arial" w:hAnsi="Arial"/>
        </w:rPr>
        <w:t>раздел 4</w:t>
      </w:r>
      <w:r>
        <w:rPr>
          <w:rFonts w:ascii="Arial" w:hAnsi="Arial"/>
        </w:rPr>
        <w:fldChar w:fldCharType="end"/>
      </w:r>
      <w:r>
        <w:rPr>
          <w:rFonts w:ascii="Arial" w:hAnsi="Arial"/>
        </w:rPr>
        <w:t xml:space="preserve"> настоящего Порядка) и Типовой </w:t>
      </w:r>
      <w:r>
        <w:rPr>
          <w:rFonts w:ascii="Arial" w:hAnsi="Arial"/>
        </w:rPr>
        <w:fldChar w:fldCharType="begin"/>
      </w:r>
      <w:r>
        <w:rPr>
          <w:rFonts w:ascii="Arial" w:hAnsi="Arial"/>
        </w:rPr>
        <w:instrText>HYPERLINK \l "P202"</w:instrText>
      </w:r>
      <w:r>
        <w:rPr>
          <w:rFonts w:ascii="Arial" w:hAnsi="Arial"/>
        </w:rPr>
        <w:fldChar w:fldCharType="separate"/>
      </w:r>
      <w:r>
        <w:rPr>
          <w:rFonts w:ascii="Arial" w:hAnsi="Arial"/>
        </w:rPr>
        <w:t>формы</w:t>
      </w:r>
      <w:r>
        <w:rPr>
          <w:rFonts w:ascii="Arial" w:hAnsi="Arial"/>
        </w:rPr>
        <w:fldChar w:fldCharType="end"/>
      </w:r>
      <w:r>
        <w:rPr>
          <w:rFonts w:ascii="Arial" w:hAnsi="Arial"/>
        </w:rPr>
        <w:t xml:space="preserve"> журнала учета проведения вводного инструктажа по ГО (приложение к настоящему Порядку), а также утверждать у руководителя организации.</w:t>
      </w:r>
    </w:p>
    <w:p w14:paraId="3F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2.4. При разработке программы вводного инструктажа по ГО рекомендуется учитывать:</w:t>
      </w:r>
    </w:p>
    <w:p w14:paraId="40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особенности деятельности (опасные производственные факторы) и месторасположения (</w:t>
      </w:r>
      <w:r>
        <w:rPr>
          <w:rFonts w:ascii="Arial" w:hAnsi="Arial"/>
        </w:rPr>
        <w:t>топо</w:t>
      </w:r>
      <w:r>
        <w:rPr>
          <w:rFonts w:ascii="Arial" w:hAnsi="Arial"/>
        </w:rPr>
        <w:t>-, географические, административно-юридические) организации;</w:t>
      </w:r>
    </w:p>
    <w:p w14:paraId="41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отнесение организации к категории по ГО;</w:t>
      </w:r>
    </w:p>
    <w:p w14:paraId="42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положения плана ГО организации, плана действий по предупреждению и ликвидации ЧС и других документов, регулирующих организацию и планирование мероприятий по ГО и защите от ЧС природного и техногенного характера;</w:t>
      </w:r>
    </w:p>
    <w:p w14:paraId="43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вероятность попадания организации в зоны возможных разрушений, радиоактивного загрязнения, химического заражения и катастрофического затопления;</w:t>
      </w:r>
    </w:p>
    <w:p w14:paraId="44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оценку возможной обстановки, которая может сложиться в результате применения потенциальным противником обычных современных средств поражения.</w:t>
      </w:r>
    </w:p>
    <w:p w14:paraId="45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 xml:space="preserve">2.5. </w:t>
      </w:r>
      <w:r>
        <w:rPr>
          <w:rFonts w:ascii="Arial" w:hAnsi="Arial"/>
        </w:rPr>
        <w:t>Количество часов, отводимое на проведение вводного инструктажа по ГО определяется</w:t>
      </w:r>
      <w:r>
        <w:rPr>
          <w:rFonts w:ascii="Arial" w:hAnsi="Arial"/>
        </w:rPr>
        <w:t xml:space="preserve"> программой вводного инструктажа работников по ГО, утвержденной в организации.</w:t>
      </w:r>
    </w:p>
    <w:p w14:paraId="46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2.6. В журнал учета проведения инструктажа по ГО, зарегистрированный в организации, рекомендуется вносить запись о факте прохождения работником вводного инструктажа по ГО, содержащую:</w:t>
      </w:r>
    </w:p>
    <w:p w14:paraId="47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дату проведения инструктажа;</w:t>
      </w:r>
    </w:p>
    <w:p w14:paraId="48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ФИО, наименование должности, подписи инструктируемого и инструктирующего лиц;</w:t>
      </w:r>
    </w:p>
    <w:p w14:paraId="49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отметку о проверке усвоения информационного материала.</w:t>
      </w:r>
    </w:p>
    <w:p w14:paraId="4A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 xml:space="preserve">2.7. </w:t>
      </w:r>
      <w:r>
        <w:rPr>
          <w:rFonts w:ascii="Arial" w:hAnsi="Arial"/>
        </w:rPr>
        <w:t xml:space="preserve">В случае наличия в организации филиалов и представительств, удаленно расположенных от головного офиса, в целях проведения вводного инструктажа по ГО предлагается в каждом филиале и представительстве организации назначать в установленном порядке лицо, ответственное за проведение инструктажа по ГО, </w:t>
      </w:r>
      <w:r>
        <w:rPr>
          <w:rFonts w:ascii="Arial" w:hAnsi="Arial"/>
        </w:rPr>
        <w:t>производить регистрацию и ведение журнала учета проведения инструктажа по ГО, либо организовать проведение вводного инструктажа по ГО в дистанционной форме.</w:t>
      </w:r>
    </w:p>
    <w:p w14:paraId="4B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2.8. При проведении вводного инструктажа по ГО в дистанционной форме предлагается:</w:t>
      </w:r>
    </w:p>
    <w:p w14:paraId="4C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использовать аппаратно-программные средства, поддерживающие аудиовизуальную связь инструктора и инструктируемого лица в режиме реального времени, с возможностью дистанционного ведения электронного журнала учета прохождения инструктажа по ГО, либо обеспечить оформление акта, содержащего запись о факте прохождения работником вводного инструктажа по ГО с последующим направлением данного акта в головной офис организации в течение 20 календарных дней с даты проведения инструктажа;</w:t>
      </w:r>
    </w:p>
    <w:p w14:paraId="4D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приказом (распоряжением) руководителя организации утвердить порядок проведения вводного инструктажа по ГО для удаленных филиалов и представительств, содержащий следующие сведения:</w:t>
      </w:r>
    </w:p>
    <w:p w14:paraId="4E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ФИО, должность лица, ответственного за проведение инструктажа по ГО работников удаленного филиала или представительства &lt;1&gt;;</w:t>
      </w:r>
    </w:p>
    <w:p w14:paraId="4F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--------------------------------</w:t>
      </w:r>
    </w:p>
    <w:p w14:paraId="50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&lt;1</w:t>
      </w:r>
      <w:r>
        <w:rPr>
          <w:rFonts w:ascii="Arial" w:hAnsi="Arial"/>
        </w:rPr>
        <w:t>&gt; В</w:t>
      </w:r>
      <w:r>
        <w:rPr>
          <w:rFonts w:ascii="Arial" w:hAnsi="Arial"/>
        </w:rPr>
        <w:t xml:space="preserve"> случае постоянного пребывания лица, ответственного за проведение инструктажа по ГО работников удаленного филиала или представительства, вне данного филиала или представительства, необходимо дополнительное назначение ответственного лица без предъявления требований к специальной подготовке в области ГО и защиты от ЧС природного и техногенного характера, в обязанности которого входит практическая демонстрация и сопровождение инструктируемых по маршрутам эвакуации из здания, мест расположения средств индивидуальной защиты и инженерных сооружений ГО.</w:t>
      </w:r>
    </w:p>
    <w:p w14:paraId="51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</w:p>
    <w:p w14:paraId="52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программу проведения инструктажа по ГО работников удаленного филиала или представительства;</w:t>
      </w:r>
    </w:p>
    <w:p w14:paraId="53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журнал учета прохождения инструктажа по ГО работников удаленного филиала или представительства;</w:t>
      </w:r>
    </w:p>
    <w:p w14:paraId="54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данные об аппаратно-программных средствах, применяемых для проведения инструктажа по ГО работников удаленного филиала или представительства.</w:t>
      </w:r>
    </w:p>
    <w:p w14:paraId="55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</w:p>
    <w:p w14:paraId="56000000">
      <w:pPr>
        <w:pStyle w:val="Style_2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3. Планируемые результаты прохождения вводного инструктажа по ГО</w:t>
      </w:r>
    </w:p>
    <w:p w14:paraId="57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 xml:space="preserve">3.1. По завершении прохождения инструктажа по ГО </w:t>
      </w:r>
      <w:r>
        <w:rPr>
          <w:rFonts w:ascii="Arial" w:hAnsi="Arial"/>
        </w:rPr>
        <w:t>инструктируемый</w:t>
      </w:r>
      <w:r>
        <w:rPr>
          <w:rFonts w:ascii="Arial" w:hAnsi="Arial"/>
        </w:rPr>
        <w:t xml:space="preserve"> должен:</w:t>
      </w:r>
    </w:p>
    <w:p w14:paraId="58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а) знать:</w:t>
      </w:r>
    </w:p>
    <w:p w14:paraId="59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потенциальные источники опасностей, которые могут привести к ЧС в организации (на территории организации), виды ЧС, характерные для территории расположения организации, опасности, которые могут возникнуть при военных конфликтах;</w:t>
      </w:r>
    </w:p>
    <w:p w14:paraId="5A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установленные в организации способы оповещения при угрозе и возникновении ЧС и военных конфликтов;</w:t>
      </w:r>
    </w:p>
    <w:p w14:paraId="5B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принятые в организации основные способы защиты от опасностей, возникающих при указанных ЧС и возможных военных конфликтах, правила действий при угрозе и возникновении данных опасностей;</w:t>
      </w:r>
    </w:p>
    <w:p w14:paraId="5C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места хранения средств индивидуальной защиты и расположения средств коллективной защиты (при наличии их в организации);</w:t>
      </w:r>
    </w:p>
    <w:p w14:paraId="5D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место расположения сборного эвакуационного пункта;</w:t>
      </w:r>
    </w:p>
    <w:p w14:paraId="5E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б) уметь:</w:t>
      </w:r>
    </w:p>
    <w:p w14:paraId="5F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действовать по сигналам оповещения;</w:t>
      </w:r>
    </w:p>
    <w:p w14:paraId="60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действовать при объявлении эвакуации;</w:t>
      </w:r>
    </w:p>
    <w:p w14:paraId="61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использовать средства индивидуальной и коллективной защиты.</w:t>
      </w:r>
    </w:p>
    <w:p w14:paraId="62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3.2. В целях проверки усвоения информационного материала, доведенного в ходе вводного инструктажа по ГО, в завершении занятия инструктор в устной форме производит опрос инструктируемых лиц в рамках содержания программы вводного инструктажа, утвержденной в организации. В случае удовлетворительного ответа считается, что материал усвоен, в журнал учета вносится отметка "ЗАЧЕТ", в противном случае - отметка "НЕЗАЧЕТ".</w:t>
      </w:r>
    </w:p>
    <w:p w14:paraId="63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Вне зависимости от результата прохождения вводного инструктажа по ГО, лица, его прошедшие, допускаются к исполнению трудовой деятельности.</w:t>
      </w:r>
    </w:p>
    <w:p w14:paraId="64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 xml:space="preserve">В отношении лиц, имеющих отметку "НЕЗАЧЕТ" в результате прохождения вводного инструктажа по ГО, следует повторно провести инструктаж в течение 30 календарных дней </w:t>
      </w:r>
      <w:r>
        <w:rPr>
          <w:rFonts w:ascii="Arial" w:hAnsi="Arial"/>
        </w:rPr>
        <w:t>с даты</w:t>
      </w:r>
      <w:r>
        <w:rPr>
          <w:rFonts w:ascii="Arial" w:hAnsi="Arial"/>
        </w:rPr>
        <w:t xml:space="preserve"> последнего инструктажа.</w:t>
      </w:r>
    </w:p>
    <w:p w14:paraId="65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</w:p>
    <w:p w14:paraId="66000000">
      <w:pPr>
        <w:pStyle w:val="Style_2"/>
        <w:widowControl w:val="1"/>
        <w:spacing w:before="120"/>
        <w:ind w:firstLine="567"/>
        <w:jc w:val="both"/>
        <w:rPr>
          <w:rFonts w:ascii="Arial" w:hAnsi="Arial"/>
        </w:rPr>
      </w:pPr>
      <w:bookmarkStart w:id="3" w:name="P92"/>
      <w:bookmarkEnd w:id="3"/>
      <w:r>
        <w:rPr>
          <w:rFonts w:ascii="Arial" w:hAnsi="Arial"/>
        </w:rPr>
        <w:t>4. Примерная программа вводного инструктажа по ГО</w:t>
      </w:r>
    </w:p>
    <w:p w14:paraId="67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4.1. Тематический план вводного инструктажа по ГО:</w:t>
      </w:r>
    </w:p>
    <w:p w14:paraId="68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594"/>
        <w:gridCol w:w="6930"/>
        <w:gridCol w:w="1531"/>
      </w:tblGrid>
      <w:tr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9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N </w:t>
            </w:r>
            <w:r>
              <w:rPr>
                <w:rFonts w:ascii="Arial" w:hAnsi="Arial"/>
              </w:rPr>
              <w:t>п</w:t>
            </w:r>
            <w:r>
              <w:rPr>
                <w:rFonts w:ascii="Arial" w:hAnsi="Arial"/>
              </w:rPr>
              <w:t>/п</w:t>
            </w:r>
          </w:p>
        </w:tc>
        <w:tc>
          <w:tcPr>
            <w:tcW w:type="dxa" w:w="69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A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Примерный перечень учебных вопросов</w:t>
            </w:r>
          </w:p>
        </w:tc>
        <w:tc>
          <w:tcPr>
            <w:tcW w:type="dxa" w:w="15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B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Время </w:t>
            </w:r>
            <w:r>
              <w:rPr>
                <w:rFonts w:ascii="Arial" w:hAnsi="Arial"/>
              </w:rPr>
              <w:fldChar w:fldCharType="begin"/>
            </w:r>
            <w:r>
              <w:rPr>
                <w:rFonts w:ascii="Arial" w:hAnsi="Arial"/>
              </w:rPr>
              <w:instrText>HYPERLINK \l "P132"</w:instrText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t>&lt;*&gt;</w:t>
            </w:r>
            <w:r>
              <w:rPr>
                <w:rFonts w:ascii="Arial" w:hAnsi="Arial"/>
              </w:rPr>
              <w:fldChar w:fldCharType="end"/>
            </w:r>
            <w:r>
              <w:rPr>
                <w:rFonts w:ascii="Arial" w:hAnsi="Arial"/>
              </w:rPr>
              <w:t xml:space="preserve"> на отработку (минут)</w:t>
            </w:r>
          </w:p>
        </w:tc>
      </w:tr>
      <w:tr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C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1.</w:t>
            </w:r>
          </w:p>
        </w:tc>
        <w:tc>
          <w:tcPr>
            <w:tcW w:type="dxa" w:w="69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D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Возможные действия работника на рабочем месте, которые могут привести к аварии, катастрофе или ЧС техногенного характера в организации</w:t>
            </w:r>
          </w:p>
        </w:tc>
        <w:tc>
          <w:tcPr>
            <w:tcW w:type="dxa" w:w="15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6E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5 - 15</w:t>
            </w:r>
          </w:p>
        </w:tc>
      </w:tr>
      <w:tr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F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2.</w:t>
            </w:r>
          </w:p>
        </w:tc>
        <w:tc>
          <w:tcPr>
            <w:tcW w:type="dxa" w:w="69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0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Наиболее характерные ЧС природного и техногенного характера, которые могут возникнуть в районе расположения организации и опасности, присущие этим ЧС</w:t>
            </w:r>
          </w:p>
        </w:tc>
        <w:tc>
          <w:tcPr>
            <w:tcW w:type="dxa" w:w="15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71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5 - 20</w:t>
            </w:r>
          </w:p>
        </w:tc>
      </w:tr>
      <w:tr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2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3.</w:t>
            </w:r>
          </w:p>
        </w:tc>
        <w:tc>
          <w:tcPr>
            <w:tcW w:type="dxa" w:w="69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3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Принятые в организации способы защиты работников от опасностей, возникающих при ЧС, характерных для производственной деятельности и района расположения организации, а также при военных конфликтах</w:t>
            </w:r>
          </w:p>
        </w:tc>
        <w:tc>
          <w:tcPr>
            <w:tcW w:type="dxa" w:w="15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74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5 - 20</w:t>
            </w:r>
          </w:p>
        </w:tc>
      </w:tr>
      <w:tr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5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4.</w:t>
            </w:r>
          </w:p>
        </w:tc>
        <w:tc>
          <w:tcPr>
            <w:tcW w:type="dxa" w:w="69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6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Установленные в организации способы доведения сигналов гражданской обороны и информации об угрозе и возникновении ЧС и опасностей, присущих военным конфликтам</w:t>
            </w:r>
          </w:p>
        </w:tc>
        <w:tc>
          <w:tcPr>
            <w:tcW w:type="dxa" w:w="15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77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2 - 10</w:t>
            </w:r>
          </w:p>
        </w:tc>
      </w:tr>
      <w:tr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8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5.</w:t>
            </w:r>
          </w:p>
        </w:tc>
        <w:tc>
          <w:tcPr>
            <w:tcW w:type="dxa" w:w="69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9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Порядок действий работника при получении сигналов гражданской обороны</w:t>
            </w:r>
          </w:p>
        </w:tc>
        <w:tc>
          <w:tcPr>
            <w:tcW w:type="dxa" w:w="15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7A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2 - 10</w:t>
            </w:r>
          </w:p>
        </w:tc>
      </w:tr>
      <w:tr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B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6.</w:t>
            </w:r>
          </w:p>
        </w:tc>
        <w:tc>
          <w:tcPr>
            <w:tcW w:type="dxa" w:w="69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C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Порядок действий работника при ЧС, связанных с утечкой (выбросом) </w:t>
            </w:r>
            <w:r>
              <w:rPr>
                <w:rFonts w:ascii="Arial" w:hAnsi="Arial"/>
              </w:rPr>
              <w:t>аварийно</w:t>
            </w:r>
            <w:r>
              <w:rPr>
                <w:rFonts w:ascii="Arial" w:hAnsi="Arial"/>
              </w:rPr>
              <w:t xml:space="preserve"> химически опасных веществ и радиоактивным загрязнением, в </w:t>
            </w:r>
            <w:r>
              <w:rPr>
                <w:rFonts w:ascii="Arial" w:hAnsi="Arial"/>
              </w:rPr>
              <w:t>т.ч</w:t>
            </w:r>
            <w:r>
              <w:rPr>
                <w:rFonts w:ascii="Arial" w:hAnsi="Arial"/>
              </w:rPr>
              <w:t>. по изготовлению и использованию подручных средств защиты органов дыхания</w:t>
            </w:r>
          </w:p>
        </w:tc>
        <w:tc>
          <w:tcPr>
            <w:tcW w:type="dxa" w:w="15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7D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6 - 30</w:t>
            </w:r>
          </w:p>
        </w:tc>
      </w:tr>
      <w:tr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E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7</w:t>
            </w:r>
            <w:r>
              <w:rPr>
                <w:rFonts w:ascii="Arial" w:hAnsi="Arial"/>
              </w:rPr>
              <w:t>.</w:t>
            </w:r>
          </w:p>
        </w:tc>
        <w:tc>
          <w:tcPr>
            <w:tcW w:type="dxa" w:w="69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F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Порядок действий работника при получении и </w:t>
            </w:r>
            <w:r>
              <w:rPr>
                <w:rFonts w:ascii="Arial" w:hAnsi="Arial"/>
              </w:rPr>
              <w:t>использовании индивидуальных средств защиты органов дыхания и кожи (при их наличии в организации)</w:t>
            </w:r>
          </w:p>
        </w:tc>
        <w:tc>
          <w:tcPr>
            <w:tcW w:type="dxa" w:w="15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80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6 - 30</w:t>
            </w:r>
          </w:p>
        </w:tc>
      </w:tr>
      <w:tr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1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8.</w:t>
            </w:r>
          </w:p>
        </w:tc>
        <w:tc>
          <w:tcPr>
            <w:tcW w:type="dxa" w:w="69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2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Порядок действий работника при укрытии в средствах коллективной защиты (при применении в организации данного способа защиты)</w:t>
            </w:r>
          </w:p>
        </w:tc>
        <w:tc>
          <w:tcPr>
            <w:tcW w:type="dxa" w:w="15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83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6 - 30</w:t>
            </w:r>
          </w:p>
        </w:tc>
      </w:tr>
      <w:tr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4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9.</w:t>
            </w:r>
          </w:p>
        </w:tc>
        <w:tc>
          <w:tcPr>
            <w:tcW w:type="dxa" w:w="69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5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Порядок действий работника при подготовке и проведении эвакуационных мероприятий:</w:t>
            </w:r>
          </w:p>
          <w:p w14:paraId="86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по эвакуации работников;</w:t>
            </w:r>
          </w:p>
          <w:p w14:paraId="87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по эвакуации материальных и культурных ценностей</w:t>
            </w:r>
          </w:p>
        </w:tc>
        <w:tc>
          <w:tcPr>
            <w:tcW w:type="dxa" w:w="15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88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6 - 30</w:t>
            </w:r>
          </w:p>
        </w:tc>
      </w:tr>
      <w:tr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9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10.</w:t>
            </w:r>
          </w:p>
        </w:tc>
        <w:tc>
          <w:tcPr>
            <w:tcW w:type="dxa" w:w="69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A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Права и обязанности граждан Российской Федерации в области ГО и защиты от ЧС природного и техногенного характера</w:t>
            </w:r>
          </w:p>
        </w:tc>
        <w:tc>
          <w:tcPr>
            <w:tcW w:type="dxa" w:w="15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8B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2 - 15</w:t>
            </w:r>
          </w:p>
        </w:tc>
      </w:tr>
    </w:tbl>
    <w:p w14:paraId="8C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</w:p>
    <w:p w14:paraId="8D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--------------------------------</w:t>
      </w:r>
    </w:p>
    <w:p w14:paraId="8E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bookmarkStart w:id="4" w:name="P132"/>
      <w:bookmarkEnd w:id="4"/>
      <w:r>
        <w:rPr>
          <w:rFonts w:ascii="Arial" w:hAnsi="Arial"/>
        </w:rPr>
        <w:t>&lt;*&gt; Рекомендуемая продолжительность программы вводного инструктажа по ГО.</w:t>
      </w:r>
    </w:p>
    <w:p w14:paraId="8F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</w:p>
    <w:p w14:paraId="90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4.2. Содержание учебных вопросов вводного инструктажа:</w:t>
      </w:r>
    </w:p>
    <w:p w14:paraId="91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Вопрос 1. Возможные действия работника на рабочем месте, которые могут привести к аварии, катастрофе или ЧС техногенного характера в организации.</w:t>
      </w:r>
    </w:p>
    <w:p w14:paraId="92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Наиболее опасные места (производства), расположенные на территории организации по признаку возникновения аварий, катастроф, чрезвычайных ситуаций.</w:t>
      </w:r>
    </w:p>
    <w:p w14:paraId="93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Исходя из должностных обязанностей инструктируемого работника и правил, установленных в организации, возможные действия работника, которые могут привести к аварии, катастрофе или чрезвычайной ситуации, и возможные их последствия.</w:t>
      </w:r>
    </w:p>
    <w:p w14:paraId="94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Вопрос 2. Наиболее характерные ЧС природного и техногенного характера, которые могут возникнуть в районе расположения организации, и опасности, присущие этим ЧС.</w:t>
      </w:r>
    </w:p>
    <w:p w14:paraId="95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Потенциально опасные объекты, опасные производственные объекты, эксплуатируемые в организации, и возможные последствия аварий на них.</w:t>
      </w:r>
    </w:p>
    <w:p w14:paraId="96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ЧС, характерные для географического месторасположения и производственной деятельности организации, присущие им опасности и возможные последствия их возникновения.</w:t>
      </w:r>
    </w:p>
    <w:p w14:paraId="97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Вопрос 3. Принятые в организации способы защиты работников от опасностей, возникающих при ЧС, характерных для производственной деятельности и района расположения организации, а также при военных конфликтах.</w:t>
      </w:r>
    </w:p>
    <w:p w14:paraId="98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Установленные в организации способы защиты работников от опасностей, возникающих при ЧС техногенного и природного характера, при военных конфликтах или вследствие этих конфликтов.</w:t>
      </w:r>
    </w:p>
    <w:p w14:paraId="99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Основы их реализации.</w:t>
      </w:r>
    </w:p>
    <w:p w14:paraId="9A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Вопрос 4. Установленные в организации способы доведения сигналов гражданской обороны, а также информации при угрозе и возникновении ЧС и опасностей, присущих военным конфликтам.</w:t>
      </w:r>
    </w:p>
    <w:p w14:paraId="9B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Установленные способы и средства доведения сигналов гражданской обороны до работников организации.</w:t>
      </w:r>
    </w:p>
    <w:p w14:paraId="9C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Порядок доведения информации о ЧС и опасностях, присущих военным конфликтам.</w:t>
      </w:r>
    </w:p>
    <w:p w14:paraId="9D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Типовые тексты информационных сообщений.</w:t>
      </w:r>
    </w:p>
    <w:p w14:paraId="9E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Вопрос 5. Порядок действий работников при получении сигналов гражданской обороны.</w:t>
      </w:r>
    </w:p>
    <w:p w14:paraId="9F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Действия работников организации при получении сигналов гражданской обороны в случае нахождения:</w:t>
      </w:r>
    </w:p>
    <w:p w14:paraId="A0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на рабочем месте;</w:t>
      </w:r>
    </w:p>
    <w:p w14:paraId="A1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в столовой;</w:t>
      </w:r>
    </w:p>
    <w:p w14:paraId="A2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другое.</w:t>
      </w:r>
    </w:p>
    <w:p w14:paraId="A3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 xml:space="preserve">Вопрос 6. Порядок действий работника при ЧС, связанных с утечкой (выбросом) </w:t>
      </w:r>
      <w:r>
        <w:rPr>
          <w:rFonts w:ascii="Arial" w:hAnsi="Arial"/>
        </w:rPr>
        <w:t>аварийно</w:t>
      </w:r>
      <w:r>
        <w:rPr>
          <w:rFonts w:ascii="Arial" w:hAnsi="Arial"/>
        </w:rPr>
        <w:t xml:space="preserve"> химически опасных веществ и радиоактивным загрязнением, в </w:t>
      </w:r>
      <w:r>
        <w:rPr>
          <w:rFonts w:ascii="Arial" w:hAnsi="Arial"/>
        </w:rPr>
        <w:t>т.ч</w:t>
      </w:r>
      <w:r>
        <w:rPr>
          <w:rFonts w:ascii="Arial" w:hAnsi="Arial"/>
        </w:rPr>
        <w:t>. по изготовлению и использованию подручных средств защиты органов дыхания.</w:t>
      </w:r>
    </w:p>
    <w:p w14:paraId="A4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 xml:space="preserve">Установленные способы защиты работников при ЧС, связанных с утечкой (выбросом) </w:t>
      </w:r>
      <w:r>
        <w:rPr>
          <w:rFonts w:ascii="Arial" w:hAnsi="Arial"/>
        </w:rPr>
        <w:t>аварийно</w:t>
      </w:r>
      <w:r>
        <w:rPr>
          <w:rFonts w:ascii="Arial" w:hAnsi="Arial"/>
        </w:rPr>
        <w:t xml:space="preserve"> химически опасных веществ и радиоактивным загрязнением.</w:t>
      </w:r>
    </w:p>
    <w:p w14:paraId="A5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Действия работника при угрозе и возникновении данных ЧС.</w:t>
      </w:r>
    </w:p>
    <w:p w14:paraId="A6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Порядок изготовления и применения подручных средств защиты органов дыхания.</w:t>
      </w:r>
    </w:p>
    <w:p w14:paraId="A7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Порядок действий при необходимости герметизации помещения.</w:t>
      </w:r>
    </w:p>
    <w:p w14:paraId="A8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Вопрос 7. Порядок действий работника при получении и использовании индивидуальных средств защиты органов дыхания и кожи (при их наличии в организации).</w:t>
      </w:r>
    </w:p>
    <w:p w14:paraId="A9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 xml:space="preserve">Средства индивидуальной защиты (далее - </w:t>
      </w:r>
      <w:r>
        <w:rPr>
          <w:rFonts w:ascii="Arial" w:hAnsi="Arial"/>
        </w:rPr>
        <w:t>СИЗ</w:t>
      </w:r>
      <w:r>
        <w:rPr>
          <w:rFonts w:ascii="Arial" w:hAnsi="Arial"/>
        </w:rPr>
        <w:t>), имеющиеся в организации и их защитные свойства.</w:t>
      </w:r>
    </w:p>
    <w:p w14:paraId="AA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 xml:space="preserve">Правила применения </w:t>
      </w:r>
      <w:r>
        <w:rPr>
          <w:rFonts w:ascii="Arial" w:hAnsi="Arial"/>
        </w:rPr>
        <w:t>СИЗ</w:t>
      </w:r>
      <w:r>
        <w:rPr>
          <w:rFonts w:ascii="Arial" w:hAnsi="Arial"/>
        </w:rPr>
        <w:t>:</w:t>
      </w:r>
    </w:p>
    <w:p w14:paraId="AB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органов дыхания;</w:t>
      </w:r>
    </w:p>
    <w:p w14:paraId="AC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кожи.</w:t>
      </w:r>
    </w:p>
    <w:p w14:paraId="AD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 xml:space="preserve">Демонстрация порядка практического применения </w:t>
      </w:r>
      <w:r>
        <w:rPr>
          <w:rFonts w:ascii="Arial" w:hAnsi="Arial"/>
        </w:rPr>
        <w:t>СИЗ</w:t>
      </w:r>
      <w:r>
        <w:rPr>
          <w:rFonts w:ascii="Arial" w:hAnsi="Arial"/>
        </w:rPr>
        <w:t>.</w:t>
      </w:r>
    </w:p>
    <w:p w14:paraId="AE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Пункт выдачи СИЗ. Порядок получения СИЗ, ответственное лицо за выдачу СИЗ.</w:t>
      </w:r>
    </w:p>
    <w:p w14:paraId="AF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Вопрос 8. Порядок действий работника при укрытии в средствах коллективной защиты (при применении в организации данного способа защиты).</w:t>
      </w:r>
    </w:p>
    <w:p w14:paraId="B0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Места расположения инженерных сооружений ГО (убежища, противорадиационные укрытия, укрытия простейшего типа) и других средств коллективной защиты (далее - СКЗ) на территории организации или на территории муниципального образования, в которых предусмотрено укрытие работников организаций.</w:t>
      </w:r>
    </w:p>
    <w:p w14:paraId="B1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 xml:space="preserve">Обязанности </w:t>
      </w:r>
      <w:r>
        <w:rPr>
          <w:rFonts w:ascii="Arial" w:hAnsi="Arial"/>
        </w:rPr>
        <w:t>укрываемых</w:t>
      </w:r>
      <w:r>
        <w:rPr>
          <w:rFonts w:ascii="Arial" w:hAnsi="Arial"/>
        </w:rPr>
        <w:t xml:space="preserve"> в СКЗ.</w:t>
      </w:r>
    </w:p>
    <w:p w14:paraId="B2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Вещи, рекомендуемые и запрещенные при использовании в СКЗ.</w:t>
      </w:r>
    </w:p>
    <w:p w14:paraId="B3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Порядок заполнения СКЗ и пребывания в них.</w:t>
      </w:r>
    </w:p>
    <w:p w14:paraId="B4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Правила поведения при укрытии в СКЗ.</w:t>
      </w:r>
    </w:p>
    <w:p w14:paraId="B5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Вопрос 9. Порядок действий работника при подготовке и проведении эвакуационных мероприятий.</w:t>
      </w:r>
    </w:p>
    <w:p w14:paraId="B6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Действия работника при подготовке и проведении эвакуационных мероприятий:</w:t>
      </w:r>
    </w:p>
    <w:p w14:paraId="B7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по эвакуации работников;</w:t>
      </w:r>
    </w:p>
    <w:p w14:paraId="B8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по эвакуации материальных и культурных ценностей.</w:t>
      </w:r>
    </w:p>
    <w:p w14:paraId="B9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Маршрут эвакуации от рабочего места работника организации до выхода из здания.</w:t>
      </w:r>
    </w:p>
    <w:p w14:paraId="BA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Правила поведения при срочной эвакуации из помещений и здания организации.</w:t>
      </w:r>
    </w:p>
    <w:p w14:paraId="BB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Порядок организованного выхода из помещения (с большим количеством работников).</w:t>
      </w:r>
    </w:p>
    <w:p w14:paraId="BC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 xml:space="preserve">Места расположения запасных выходов из здания. Характерные ошибки и опасность паники при эвакуации из помещений и зданий (в </w:t>
      </w:r>
      <w:r>
        <w:rPr>
          <w:rFonts w:ascii="Arial" w:hAnsi="Arial"/>
        </w:rPr>
        <w:t>т.ч</w:t>
      </w:r>
      <w:r>
        <w:rPr>
          <w:rFonts w:ascii="Arial" w:hAnsi="Arial"/>
        </w:rPr>
        <w:t>. при эвакуации с верхних этажей). Использование лифта в организации при эвакуации.</w:t>
      </w:r>
    </w:p>
    <w:p w14:paraId="BD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Безопасный район для работников организации (при наличии).</w:t>
      </w:r>
    </w:p>
    <w:p w14:paraId="BE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Председатель эвакуационной комиссии, время и место консультаций работников по вопросам эвакуации.</w:t>
      </w:r>
    </w:p>
    <w:p w14:paraId="BF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Действия работников организации при объявлении рассредоточения и эвакуации.</w:t>
      </w:r>
    </w:p>
    <w:p w14:paraId="C0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Перечень предметов первой необходимости.</w:t>
      </w:r>
    </w:p>
    <w:p w14:paraId="C1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Местоположение сборного эвакопункта (далее - СЭП).</w:t>
      </w:r>
    </w:p>
    <w:p w14:paraId="C2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Правила поведения в СЭП.</w:t>
      </w:r>
    </w:p>
    <w:p w14:paraId="C3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Обязанности работников по подготовке к эвакуации материальных и культурных ценностей.</w:t>
      </w:r>
    </w:p>
    <w:p w14:paraId="C4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Вопрос 10. Права и обязанности граждан Российской Федерации в области ГО и защиты от ЧС природного и техногенного характера.</w:t>
      </w:r>
    </w:p>
    <w:p w14:paraId="C5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Права и обязанности граждан Российской Федерации в области ГО и защиты от ЧС природного и техногенного характера, установленные федеральными законами и другими нормативными правовыми актами.</w:t>
      </w:r>
    </w:p>
    <w:p w14:paraId="C6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Обязанности работника по выполнению мероприятий ГО и защиты от ЧС природного и техногенного характера в соответствии с трудовым договором или дополнительном соглашении.</w:t>
      </w:r>
    </w:p>
    <w:p w14:paraId="C7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</w:p>
    <w:p w14:paraId="C8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</w:p>
    <w:p w14:paraId="C9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</w:p>
    <w:p w14:paraId="CA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</w:p>
    <w:p w14:paraId="CB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</w:p>
    <w:p w14:paraId="CC000000">
      <w:pPr>
        <w:pStyle w:val="Style_1"/>
        <w:widowControl w:val="1"/>
        <w:spacing w:before="120"/>
        <w:ind w:firstLine="567"/>
        <w:jc w:val="right"/>
        <w:rPr>
          <w:rFonts w:ascii="Arial" w:hAnsi="Arial"/>
        </w:rPr>
      </w:pPr>
      <w:r>
        <w:rPr>
          <w:rFonts w:ascii="Arial" w:hAnsi="Arial"/>
        </w:rPr>
        <w:t>Приложение</w:t>
      </w:r>
    </w:p>
    <w:p w14:paraId="CD000000">
      <w:pPr>
        <w:pStyle w:val="Style_1"/>
        <w:widowControl w:val="1"/>
        <w:spacing w:before="120"/>
        <w:ind w:firstLine="567"/>
        <w:jc w:val="right"/>
        <w:rPr>
          <w:rFonts w:ascii="Arial" w:hAnsi="Arial"/>
        </w:rPr>
      </w:pPr>
      <w:r>
        <w:rPr>
          <w:rFonts w:ascii="Arial" w:hAnsi="Arial"/>
        </w:rPr>
        <w:t xml:space="preserve">к </w:t>
      </w:r>
      <w:r>
        <w:rPr>
          <w:rFonts w:ascii="Arial" w:hAnsi="Arial"/>
        </w:rPr>
        <w:fldChar w:fldCharType="begin"/>
      </w:r>
      <w:r>
        <w:rPr>
          <w:rFonts w:ascii="Arial" w:hAnsi="Arial"/>
        </w:rPr>
        <w:instrText>HYPERLINK \l "P52"</w:instrText>
      </w:r>
      <w:r>
        <w:rPr>
          <w:rFonts w:ascii="Arial" w:hAnsi="Arial"/>
        </w:rPr>
        <w:fldChar w:fldCharType="separate"/>
      </w:r>
      <w:r>
        <w:rPr>
          <w:rFonts w:ascii="Arial" w:hAnsi="Arial"/>
        </w:rPr>
        <w:t>п. 2.3</w:t>
      </w:r>
      <w:r>
        <w:rPr>
          <w:rFonts w:ascii="Arial" w:hAnsi="Arial"/>
        </w:rPr>
        <w:fldChar w:fldCharType="end"/>
      </w:r>
      <w:r>
        <w:rPr>
          <w:rFonts w:ascii="Arial" w:hAnsi="Arial"/>
        </w:rPr>
        <w:t xml:space="preserve"> Порядка</w:t>
      </w:r>
    </w:p>
    <w:p w14:paraId="CE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</w:p>
    <w:p w14:paraId="CF000000">
      <w:pPr>
        <w:pStyle w:val="Style_1"/>
        <w:widowControl w:val="1"/>
        <w:spacing w:before="120"/>
        <w:ind w:firstLine="567"/>
        <w:jc w:val="center"/>
        <w:rPr>
          <w:rFonts w:ascii="Arial" w:hAnsi="Arial"/>
        </w:rPr>
      </w:pPr>
      <w:r>
        <w:rPr>
          <w:rFonts w:ascii="Arial" w:hAnsi="Arial"/>
        </w:rPr>
        <w:t>Обложка</w:t>
      </w:r>
    </w:p>
    <w:p w14:paraId="D0000000">
      <w:pPr>
        <w:pStyle w:val="Style_1"/>
        <w:widowControl w:val="1"/>
        <w:spacing w:before="120"/>
        <w:ind w:firstLine="567"/>
        <w:jc w:val="center"/>
        <w:rPr>
          <w:rFonts w:ascii="Arial" w:hAnsi="Arial"/>
        </w:rPr>
      </w:pPr>
    </w:p>
    <w:tbl>
      <w:tblPr>
        <w:tblStyle w:val="Style_3"/>
        <w:tblW w:type="auto" w:w="0"/>
        <w:tblBorders>
          <w:insideH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9071"/>
      </w:tblGrid>
      <w:tr>
        <w:tc>
          <w:tcPr>
            <w:tcW w:type="dxa" w:w="9071"/>
            <w:tcBorders>
              <w:top w:val="nil"/>
              <w:left w:val="nil"/>
              <w:bottom w:color="000000" w:sz="4" w:val="single"/>
              <w:right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1000000">
            <w:pPr>
              <w:pStyle w:val="Style_1"/>
              <w:widowControl w:val="1"/>
              <w:spacing w:before="120"/>
              <w:ind w:firstLine="567"/>
              <w:jc w:val="center"/>
              <w:rPr>
                <w:rFonts w:ascii="Arial" w:hAnsi="Arial"/>
              </w:rPr>
            </w:pPr>
          </w:p>
        </w:tc>
      </w:tr>
      <w:tr>
        <w:tc>
          <w:tcPr>
            <w:tcW w:type="dxa" w:w="9071"/>
            <w:tcBorders>
              <w:top w:color="000000" w:sz="4" w:val="single"/>
              <w:left w:val="nil"/>
              <w:bottom w:val="nil"/>
              <w:right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2000000">
            <w:pPr>
              <w:pStyle w:val="Style_1"/>
              <w:widowControl w:val="1"/>
              <w:spacing w:before="120"/>
              <w:ind w:firstLine="567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(наименование организации)</w:t>
            </w:r>
          </w:p>
        </w:tc>
      </w:tr>
    </w:tbl>
    <w:p w14:paraId="D3000000">
      <w:pPr>
        <w:pStyle w:val="Style_1"/>
        <w:widowControl w:val="1"/>
        <w:spacing w:before="120"/>
        <w:ind w:firstLine="567"/>
        <w:jc w:val="center"/>
        <w:rPr>
          <w:rFonts w:ascii="Arial" w:hAnsi="Arial"/>
        </w:rPr>
      </w:pPr>
    </w:p>
    <w:p w14:paraId="D4000000">
      <w:pPr>
        <w:pStyle w:val="Style_1"/>
        <w:widowControl w:val="1"/>
        <w:spacing w:before="120"/>
        <w:ind w:firstLine="567"/>
        <w:jc w:val="center"/>
        <w:rPr>
          <w:rFonts w:ascii="Arial" w:hAnsi="Arial"/>
        </w:rPr>
      </w:pPr>
      <w:bookmarkStart w:id="5" w:name="P202"/>
      <w:bookmarkEnd w:id="5"/>
      <w:r>
        <w:rPr>
          <w:rFonts w:ascii="Arial" w:hAnsi="Arial"/>
        </w:rPr>
        <w:t>ЖУРНАЛ N _____</w:t>
      </w:r>
    </w:p>
    <w:p w14:paraId="D5000000">
      <w:pPr>
        <w:pStyle w:val="Style_1"/>
        <w:widowControl w:val="1"/>
        <w:spacing w:before="120"/>
        <w:ind w:firstLine="567"/>
        <w:jc w:val="center"/>
        <w:rPr>
          <w:rFonts w:ascii="Arial" w:hAnsi="Arial"/>
        </w:rPr>
      </w:pPr>
      <w:r>
        <w:rPr>
          <w:rFonts w:ascii="Arial" w:hAnsi="Arial"/>
        </w:rPr>
        <w:t>учета вводного инструктажа по гражданской обороне</w:t>
      </w:r>
    </w:p>
    <w:p w14:paraId="D6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</w:p>
    <w:p w14:paraId="D7000000">
      <w:pPr>
        <w:pStyle w:val="Style_1"/>
        <w:widowControl w:val="1"/>
        <w:spacing w:before="120"/>
        <w:ind w:firstLine="567"/>
        <w:jc w:val="right"/>
        <w:rPr>
          <w:rFonts w:ascii="Arial" w:hAnsi="Arial"/>
        </w:rPr>
      </w:pPr>
      <w:r>
        <w:rPr>
          <w:rFonts w:ascii="Arial" w:hAnsi="Arial"/>
        </w:rPr>
        <w:t>Начат ____________ 20__ г.</w:t>
      </w:r>
    </w:p>
    <w:p w14:paraId="D8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</w:p>
    <w:p w14:paraId="D9000000">
      <w:pPr>
        <w:pStyle w:val="Style_1"/>
        <w:widowControl w:val="1"/>
        <w:spacing w:before="120"/>
        <w:ind w:firstLine="567"/>
        <w:jc w:val="right"/>
        <w:rPr>
          <w:rFonts w:ascii="Arial" w:hAnsi="Arial"/>
        </w:rPr>
      </w:pPr>
      <w:bookmarkStart w:id="6" w:name="_GoBack"/>
      <w:bookmarkEnd w:id="6"/>
      <w:r>
        <w:rPr>
          <w:rFonts w:ascii="Arial" w:hAnsi="Arial"/>
        </w:rPr>
        <w:t>Окончен __________ 20__ г.</w:t>
      </w:r>
    </w:p>
    <w:p w14:paraId="DA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</w:p>
    <w:p w14:paraId="DB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Следующая страница</w:t>
      </w:r>
    </w:p>
    <w:p w14:paraId="DC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1191"/>
        <w:gridCol w:w="1077"/>
        <w:gridCol w:w="1361"/>
        <w:gridCol w:w="907"/>
        <w:gridCol w:w="1576"/>
        <w:gridCol w:w="907"/>
        <w:gridCol w:w="907"/>
        <w:gridCol w:w="1134"/>
      </w:tblGrid>
      <w:tr>
        <w:tc>
          <w:tcPr>
            <w:tcW w:type="dxa" w:w="22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D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Дата</w:t>
            </w:r>
          </w:p>
        </w:tc>
        <w:tc>
          <w:tcPr>
            <w:tcW w:type="dxa" w:w="136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E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Фамилия, имя, отчество инструктируемого лица</w:t>
            </w:r>
          </w:p>
        </w:tc>
        <w:tc>
          <w:tcPr>
            <w:tcW w:type="dxa" w:w="90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F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Должность инструктируемого лица</w:t>
            </w:r>
          </w:p>
        </w:tc>
        <w:tc>
          <w:tcPr>
            <w:tcW w:type="dxa" w:w="15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0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Фамилия, имя, отчество, должность </w:t>
            </w:r>
            <w:r>
              <w:rPr>
                <w:rFonts w:ascii="Arial" w:hAnsi="Arial"/>
              </w:rPr>
              <w:t>инструктирующего</w:t>
            </w:r>
          </w:p>
        </w:tc>
        <w:tc>
          <w:tcPr>
            <w:tcW w:type="dxa" w:w="181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1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Подпись</w:t>
            </w:r>
          </w:p>
        </w:tc>
        <w:tc>
          <w:tcPr>
            <w:tcW w:type="dxa" w:w="11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2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Отметка о проверке знаний</w:t>
            </w:r>
          </w:p>
        </w:tc>
      </w:tr>
      <w:tr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3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Трудоустройства (прибытия)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4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Проведения инструктажа</w:t>
            </w:r>
          </w:p>
        </w:tc>
        <w:tc>
          <w:tcPr>
            <w:tcW w:type="dxa" w:w="13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5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5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Инструктируемого</w:t>
            </w:r>
          </w:p>
        </w:tc>
        <w:tc>
          <w:tcPr>
            <w:tcW w:type="dxa" w:w="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6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Инструктирующего</w:t>
            </w:r>
          </w:p>
        </w:tc>
        <w:tc>
          <w:tcPr>
            <w:tcW w:type="dxa" w:w="11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7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8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type="dxa" w:w="1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9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3</w:t>
            </w:r>
          </w:p>
        </w:tc>
        <w:tc>
          <w:tcPr>
            <w:tcW w:type="dxa" w:w="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A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4</w:t>
            </w:r>
          </w:p>
        </w:tc>
        <w:tc>
          <w:tcPr>
            <w:tcW w:type="dxa" w:w="1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B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5</w:t>
            </w:r>
          </w:p>
        </w:tc>
        <w:tc>
          <w:tcPr>
            <w:tcW w:type="dxa" w:w="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C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6</w:t>
            </w:r>
          </w:p>
        </w:tc>
        <w:tc>
          <w:tcPr>
            <w:tcW w:type="dxa" w:w="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D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7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E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8</w:t>
            </w:r>
          </w:p>
        </w:tc>
      </w:tr>
      <w:tr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F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0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</w:p>
        </w:tc>
        <w:tc>
          <w:tcPr>
            <w:tcW w:type="dxa" w:w="1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1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</w:p>
        </w:tc>
        <w:tc>
          <w:tcPr>
            <w:tcW w:type="dxa" w:w="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2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</w:p>
        </w:tc>
        <w:tc>
          <w:tcPr>
            <w:tcW w:type="dxa" w:w="1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3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</w:p>
        </w:tc>
        <w:tc>
          <w:tcPr>
            <w:tcW w:type="dxa" w:w="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4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</w:p>
        </w:tc>
        <w:tc>
          <w:tcPr>
            <w:tcW w:type="dxa" w:w="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5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6000000">
            <w:pPr>
              <w:pStyle w:val="Style_1"/>
              <w:widowControl w:val="1"/>
              <w:spacing w:before="120"/>
              <w:ind w:firstLine="567"/>
              <w:jc w:val="both"/>
              <w:rPr>
                <w:rFonts w:ascii="Arial" w:hAnsi="Arial"/>
              </w:rPr>
            </w:pPr>
          </w:p>
        </w:tc>
      </w:tr>
    </w:tbl>
    <w:p w14:paraId="F7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</w:p>
    <w:p w14:paraId="F8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>Страницы журнала нумеруются, прошиваются и скрепляются печатью организации.</w:t>
      </w:r>
    </w:p>
    <w:p w14:paraId="F9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</w:p>
    <w:p w14:paraId="FA000000">
      <w:pPr>
        <w:pStyle w:val="Style_1"/>
        <w:widowControl w:val="1"/>
        <w:spacing w:before="120"/>
        <w:ind w:firstLine="567"/>
        <w:jc w:val="both"/>
        <w:rPr>
          <w:rFonts w:ascii="Arial" w:hAnsi="Arial"/>
        </w:rPr>
      </w:pPr>
    </w:p>
    <w:p w14:paraId="FB000000">
      <w:pPr>
        <w:pStyle w:val="Style_1"/>
        <w:widowControl w:val="1"/>
        <w:pBdr>
          <w:top w:color="000000" w:space="0" w:sz="6" w:val="single"/>
        </w:pBdr>
        <w:spacing w:before="120"/>
        <w:ind w:firstLine="567"/>
        <w:jc w:val="both"/>
        <w:rPr>
          <w:rFonts w:ascii="Arial" w:hAnsi="Arial"/>
        </w:rPr>
      </w:pPr>
    </w:p>
    <w:p w14:paraId="FC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  <w:lang w:val="ru-RU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</w:style>
  <w:style w:default="1" w:styleId="Style_4_ch" w:type="character">
    <w:name w:val="Normal"/>
    <w:link w:val="Style_4"/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4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" w:type="paragraph">
    <w:name w:val="ConsPlusNormal"/>
    <w:link w:val="Style_1_ch"/>
    <w:pPr>
      <w:widowControl w:val="0"/>
      <w:spacing w:after="0" w:line="240" w:lineRule="auto"/>
      <w:ind/>
    </w:pPr>
    <w:rPr>
      <w:rFonts w:ascii="Calibri" w:hAnsi="Calibri"/>
    </w:rPr>
  </w:style>
  <w:style w:styleId="Style_1_ch" w:type="character">
    <w:name w:val="ConsPlusNormal"/>
    <w:link w:val="Style_1"/>
    <w:rPr>
      <w:rFonts w:ascii="Calibri" w:hAnsi="Calibri"/>
    </w:rPr>
  </w:style>
  <w:style w:styleId="Style_12" w:type="paragraph">
    <w:name w:val="toc 3"/>
    <w:next w:val="Style_4"/>
    <w:link w:val="Style_1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heading 5"/>
    <w:next w:val="Style_4"/>
    <w:link w:val="Style_1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4"/>
    <w:link w:val="Style_14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4"/>
    <w:link w:val="Style_1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19" w:type="paragraph">
    <w:name w:val="toc 9"/>
    <w:next w:val="Style_4"/>
    <w:link w:val="Style_1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" w:type="paragraph">
    <w:name w:val="ConsPlusTitle"/>
    <w:link w:val="Style_2_ch"/>
    <w:pPr>
      <w:widowControl w:val="0"/>
      <w:spacing w:after="0" w:line="240" w:lineRule="auto"/>
      <w:ind/>
    </w:pPr>
    <w:rPr>
      <w:rFonts w:ascii="Calibri" w:hAnsi="Calibri"/>
      <w:b w:val="1"/>
    </w:rPr>
  </w:style>
  <w:style w:styleId="Style_2_ch" w:type="character">
    <w:name w:val="ConsPlusTitle"/>
    <w:link w:val="Style_2"/>
    <w:rPr>
      <w:rFonts w:ascii="Calibri" w:hAnsi="Calibri"/>
      <w:b w:val="1"/>
    </w:rPr>
  </w:style>
  <w:style w:styleId="Style_20" w:type="paragraph">
    <w:name w:val="toc 8"/>
    <w:next w:val="Style_4"/>
    <w:link w:val="Style_2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ConsPlusTitlePage"/>
    <w:link w:val="Style_21_ch"/>
    <w:pPr>
      <w:widowControl w:val="0"/>
      <w:spacing w:after="0" w:line="240" w:lineRule="auto"/>
      <w:ind/>
    </w:pPr>
    <w:rPr>
      <w:rFonts w:ascii="Tahoma" w:hAnsi="Tahoma"/>
      <w:sz w:val="20"/>
    </w:rPr>
  </w:style>
  <w:style w:styleId="Style_21_ch" w:type="character">
    <w:name w:val="ConsPlusTitlePage"/>
    <w:link w:val="Style_21"/>
    <w:rPr>
      <w:rFonts w:ascii="Tahoma" w:hAnsi="Tahoma"/>
      <w:sz w:val="20"/>
    </w:rPr>
  </w:style>
  <w:style w:styleId="Style_22" w:type="paragraph">
    <w:name w:val="toc 5"/>
    <w:next w:val="Style_4"/>
    <w:link w:val="Style_2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Subtitle"/>
    <w:next w:val="Style_4"/>
    <w:link w:val="Style_2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Title"/>
    <w:next w:val="Style_4"/>
    <w:link w:val="Style_2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4"/>
    <w:link w:val="Style_2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heading 2"/>
    <w:next w:val="Style_4"/>
    <w:link w:val="Style_2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MyOffice-CoreFramework-Android/42-1452.1159.10689.1080.1@81e7b381fe3e759ea024068d935a93a33705f065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2022-05-06T01:14:00Z</dcterms:created>
  <dcterms:modified xsi:type="dcterms:W3CDTF">2024-10-14T17:53:00Z</dcterms:modified>
</cp:coreProperties>
</file>