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8E3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i/>
          <w:color w:val="000000"/>
          <w:kern w:val="36"/>
          <w:sz w:val="24"/>
          <w:szCs w:val="24"/>
          <w:lang w:eastAsia="ru-RU"/>
        </w:rPr>
        <w:t>Организация коммерческого учета электроэнергии (мощности)</w:t>
      </w:r>
    </w:p>
    <w:p w14:paraId="0616CF96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Понятия:</w:t>
      </w:r>
    </w:p>
    <w:p w14:paraId="3426629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Эксплуатация прибора учета -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выполнение действий, обеспечивающих функционирование прибора учета и (или) иного оборудования, используемых для обеспечения коммерческого учета электрической энергии (мощности), в соответствии с его назначением на всех стадиях его жизненного цикла со дня допуска в эксплуатацию и до выхода из строя, включающих в том числе осмотры прибора учета и (или) иного оборудования, используемых для обеспечения коммерческого учета электрической энергии (мощности), а также техническое обслуживание прибора учета и (или) иного оборудования (при необходимости) и проведение своевременной поверки.</w:t>
      </w:r>
    </w:p>
    <w:p w14:paraId="3FA218EC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Допуск прибора учета в эксплуатацию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процедура, в ходе которой проверяется и определяется готовность прибора учета к его использованию при осуществлении расчетов за электрическую энергию (мощность) и которая завершается документальным оформлением результатов допуска.</w:t>
      </w:r>
    </w:p>
    <w:p w14:paraId="48A2E13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Установка прибора учета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работа по монтажу такого прибора учета и (или) иного оборудования, которая необходима для обеспечения коммерческого учета электрической энергии (мощности) в точке поставки.</w:t>
      </w:r>
    </w:p>
    <w:p w14:paraId="2BA5C4E8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Замена прибора учета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работа по демонтажу ранее установленного прибора учета и (или) иного оборудования, которые используются для обеспечения коммерческого учета электрической энергии (мощности) и работа по установке прибора учета.</w:t>
      </w:r>
    </w:p>
    <w:p w14:paraId="117FC34A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Утрата прибора учета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отсутствие результатов измерений и информации о состоянии такого прибора учета по истечении 180 дней с даты последнего снятия показаний с прибора учета, в том числе вследствие двукратного не допуска сетевой организации, гарантирующего поставщика к месту установки прибора учета в целях исполнения возложенных на соответствующего субъекта обязанностей.</w:t>
      </w:r>
    </w:p>
    <w:p w14:paraId="6D739A8A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по организации коммерческого учета электроэнергии (мощности):</w:t>
      </w:r>
    </w:p>
    <w:p w14:paraId="06FC83D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Гарантирующие поставщики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обеспечивают коммерческий учет электрической энергии (мощности) в отношении расположенных в их зоне деятельности многоквартирных домов </w:t>
      </w:r>
      <w:hyperlink r:id="rId7" w:tooltip="Многоквартирные дома, вводимые в эксплуатацию с 01.01.2021 после осуществления строительства, должны быть оснащены индивидуальными (общими для коммунальной квартиры) приборами учета электрической энергии в жилых и нежилых помещениях многоквартирного дома,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(исключение - вновь вводимые в эксплуатацию многоквартирные дома)</w:t>
        </w:r>
      </w:hyperlink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за исключением помещений в многоквартирных домах, электроснабжение которых осуществляется без использования общего имущества, включая установку коллективных (общедомовых) приборов учета электрической энергии.</w:t>
      </w:r>
    </w:p>
    <w:p w14:paraId="205B8623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Сетевые организации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- обеспечивают коммерческий учет электрической энергии (мощности) в отношении энергопринимающих устройств, подключенных к объектам электросетевого хозяйства непосредственно или опосредованно, в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т.ч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в отношении жилого дома (домовладения), гаражного строения, нежилого помещения 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многоквартирного дома, электроснабжения которого осуществляется без использования общего имущества.</w:t>
      </w:r>
    </w:p>
    <w:p w14:paraId="72359FD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Сетевые организации и гарантирующие поставщики обеспечивают организацию коммерческого учета:</w:t>
      </w:r>
    </w:p>
    <w:p w14:paraId="0E40EA1F" w14:textId="77777777" w:rsidR="00880159" w:rsidRPr="00880159" w:rsidRDefault="00880159" w:rsidP="00880159">
      <w:pPr>
        <w:numPr>
          <w:ilvl w:val="0"/>
          <w:numId w:val="18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 отсутствии, выходе из строя, утрате, истечении срока эксплуатации или истечении интервала между поверками приборов учета электрической </w:t>
      </w:r>
      <w:hyperlink r:id="rId8" w:tooltip="В состав иного оборудования входят: ·измерительные трансформаторы; ·коммутационное оборудование и оборудование защиты прибора учета от токов короткого замыкания; ·материалы и оборудование для монтажа прибора учета (измерительного комплекса) в месте его ус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энергии и (или) иного оборудования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, которые используются для коммерческого учета электрической энергии (мощности), в том числе не принадлежащих сетевой организации, гарантирующему поставщику;</w:t>
      </w:r>
    </w:p>
    <w:p w14:paraId="6B626EF7" w14:textId="77777777" w:rsidR="00880159" w:rsidRPr="00880159" w:rsidRDefault="00880159" w:rsidP="00880159">
      <w:pPr>
        <w:numPr>
          <w:ilvl w:val="0"/>
          <w:numId w:val="19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процессе технологического присоединения энергопринимающих устройств.</w:t>
      </w:r>
    </w:p>
    <w:p w14:paraId="3A47F36A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Приобретение, установка, замена, эксплуатация и поверка измерительных трансформаторов, используемых для обеспечения коммерческого учета электрической энергии в составе измерительных комплексов, установленных или устанавливаемых на подстанциях с уровнем высшего напряжения 20 кВ и выше, осуществляются собственником (владельцем) соответствующих подстанций.</w:t>
      </w:r>
    </w:p>
    <w:p w14:paraId="755202BF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требования к организации коммерческого учета:</w:t>
      </w:r>
    </w:p>
    <w:p w14:paraId="66404009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Коммерческий учет электрической энергии осуществляется в порядке, предусмотренном действующим законодательством РФ:</w:t>
      </w:r>
    </w:p>
    <w:p w14:paraId="49E593C7" w14:textId="77777777" w:rsidR="00880159" w:rsidRPr="00880159" w:rsidRDefault="00880159" w:rsidP="00880159">
      <w:pPr>
        <w:numPr>
          <w:ilvl w:val="0"/>
          <w:numId w:val="2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для граждан, использующих электрическую энергию в целях коммунального бытового потребления -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«О предоставлении коммунальных услуг собственникам и пользователям помещений в многоквартирных домах и жилых домов», за исключением, установленного Правилами, порядка определения мест установки приборов учета, установки и ввода в эксплуатацию, проведения контрольного снятия показаний и проверок приборов учета, установленных в отношении жилых домов (домовладений), установки и ввода в эксплуатацию и проведении проверок коллективных (общедомовых) приборов учета;</w:t>
      </w:r>
    </w:p>
    <w:p w14:paraId="07631276" w14:textId="77777777" w:rsidR="00880159" w:rsidRPr="00880159" w:rsidRDefault="00880159" w:rsidP="00880159">
      <w:pPr>
        <w:numPr>
          <w:ilvl w:val="0"/>
          <w:numId w:val="2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для потребителей, приобретающих электрическую энергию для собственных бытовых и (или) производственных нужд, покупателей электрической энергии, приобретающих электрическую энергию (мощность) в целях ее продажи – в соответствии с Правилами организации учета электрической энергии на розничных рынках, указанными в разделе X Основных положений функционирования розничных рынков электрической энергии, утвержденных </w:t>
      </w:r>
      <w:hyperlink r:id="rId9" w:tgtFrame="_blank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постановлением Правительства Российской Федерации от 04.05.2012 442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</w:t>
      </w:r>
    </w:p>
    <w:p w14:paraId="7EC7F22F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01.01.2022 года для учета электрической энергии (мощности) подлежат установке приборы учета, соответствующие требованиям к приборам учета электрической энергии, которые могут быть присоединены к интеллектуальной системе учета электрической энергии (мощности), в соответствии с правилами предоставления доступа к минимальному набору функций интеллектуальных систем учета электрической энергии (мощности). До 01.01.2022 сетевые организации, гарантирующие поставщики вправе осуществлять установку приборов учета, соответствующих требованиям, предусмотренным указанными правилами.</w:t>
      </w:r>
    </w:p>
    <w:p w14:paraId="57A2F38D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Для учета потребляемой электрической энергии подлежат использованию приборы учета:</w:t>
      </w:r>
    </w:p>
    <w:p w14:paraId="21665971" w14:textId="77777777" w:rsidR="00880159" w:rsidRPr="00880159" w:rsidRDefault="00880159" w:rsidP="00880159">
      <w:pPr>
        <w:numPr>
          <w:ilvl w:val="0"/>
          <w:numId w:val="2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класса точности, соответствующего требованиям правил предоставления доступа к минимальному набору функций интеллектуальных систем учета электрической энергии (мощности);</w:t>
      </w:r>
    </w:p>
    <w:p w14:paraId="6E820922" w14:textId="77777777" w:rsidR="00880159" w:rsidRPr="00880159" w:rsidRDefault="00880159" w:rsidP="00880159">
      <w:pPr>
        <w:numPr>
          <w:ilvl w:val="0"/>
          <w:numId w:val="2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для потребителей - с максимальной мощностью не менее 670 кВт, в том числе приборы учета, обеспечивающие хранение данных о почасовых объемах потребления электрической энергии за последние 90 дней и более;</w:t>
      </w:r>
    </w:p>
    <w:p w14:paraId="0DA54954" w14:textId="77777777" w:rsidR="00880159" w:rsidRPr="00880159" w:rsidRDefault="00880159" w:rsidP="00880159">
      <w:pPr>
        <w:numPr>
          <w:ilvl w:val="0"/>
          <w:numId w:val="2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класс точности измерительных трансформаторов, используемых в измерительных комплексах для установки (подключения) приборов учета, должен быть не ниже 0,5.</w:t>
      </w:r>
    </w:p>
    <w:p w14:paraId="18FAC541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Энергопринимающие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устройства потребителя считаются оборудованными приборами учета, позволяющими измерять почасовые объемы потребления электрической энергии, в случае, если такими приборами учета оборудованы все точки поставки в границах балансовой принадлежности потребителя, кроме тех точек поставки, по которым допускается использование </w:t>
      </w:r>
      <w:bookmarkStart w:id="0" w:name="_GoBack"/>
      <w:bookmarkEnd w:id="0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"https://www.dvec.ru/electric_market/uchet/" \o "Под интегральным прибором учета, понимается прибор учета, обеспечивающий учет электрической энергии суммарно по состоянию на определенный момент времени." </w:instrTex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880159">
        <w:rPr>
          <w:rFonts w:ascii="Arial" w:eastAsia="Times New Roman" w:hAnsi="Arial" w:cs="Arial"/>
          <w:color w:val="1667A3"/>
          <w:sz w:val="24"/>
          <w:szCs w:val="24"/>
          <w:u w:val="single"/>
          <w:lang w:eastAsia="ru-RU"/>
        </w:rPr>
        <w:t>интегральных приборов учета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договоре указываются расчетные и контрольные приборы учета при их наличии.</w:t>
      </w:r>
    </w:p>
    <w:p w14:paraId="676E08C1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Расчетный прибор учета определяется исходя из следующих критериев в порядке убывания приоритета:</w:t>
      </w:r>
    </w:p>
    <w:p w14:paraId="0352D285" w14:textId="77777777" w:rsidR="00880159" w:rsidRPr="00880159" w:rsidRDefault="00880159" w:rsidP="00880159">
      <w:pPr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прибор учета установлен и допущен в эксплуатацию сетевой организацией или гарантирующим поставщиком, в рамках исполнения Правил;</w:t>
      </w:r>
    </w:p>
    <w:p w14:paraId="1B62FC34" w14:textId="77777777" w:rsidR="00880159" w:rsidRPr="00880159" w:rsidRDefault="00880159" w:rsidP="00880159">
      <w:pPr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прибор учета обеспечивает проведение измерений с минимальной величиной потерь;</w:t>
      </w:r>
    </w:p>
    <w:p w14:paraId="3F722019" w14:textId="77777777" w:rsidR="00880159" w:rsidRPr="00880159" w:rsidRDefault="00880159" w:rsidP="00880159">
      <w:pPr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прибор учета обеспечивает минимальную величину погрешности измерительного канала;</w:t>
      </w:r>
    </w:p>
    <w:p w14:paraId="18463B52" w14:textId="77777777" w:rsidR="00880159" w:rsidRPr="00880159" w:rsidRDefault="00880159" w:rsidP="00880159">
      <w:pPr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прибор учета позволяет измерять почасовые объемы;</w:t>
      </w:r>
    </w:p>
    <w:p w14:paraId="595E8344" w14:textId="77777777" w:rsidR="00880159" w:rsidRPr="00880159" w:rsidRDefault="00880159" w:rsidP="00880159">
      <w:pPr>
        <w:numPr>
          <w:ilvl w:val="0"/>
          <w:numId w:val="2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прибор учета входит в состав информационно-измерительной системы учета.</w:t>
      </w:r>
    </w:p>
    <w:p w14:paraId="19DEB6AD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интегральных приборов учета допускается по точкам поставки на объектах электросетевого хозяйства напряжением 10 кВ и ниже при условии, что суммарная максимальная мощность по этим точкам поставки не превышает 2,5 % максимальной мощности всех точек поставки в границах балансовой принадлежности потребителя.</w:t>
      </w:r>
    </w:p>
    <w:p w14:paraId="1012BEB4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 собственников приборов учета и (или) иного оборудования, используемого для учета, а также объектов, где установлены эти приборы учета и оборудование:</w:t>
      </w:r>
    </w:p>
    <w:p w14:paraId="3A2AA72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Приборы учета электрической энергии и (или) иное оборудование, установленные до 01.07.2020, могут быть использованы вплоть до истечения, установленного для них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межповерочного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интервала, до истечения срока эксплуатации либо до момента выхода таких приборов учета из строя или их утраты.</w:t>
      </w:r>
    </w:p>
    <w:p w14:paraId="115C548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Собственники приборов учета и (или) иного оборудования, а также собственники (владельцы) и (или) пользователи объектов (энергопринимающих устройств), на которых установлены приборы учета и (или) иное оборудование, не вправе:</w:t>
      </w:r>
    </w:p>
    <w:p w14:paraId="1E225C3D" w14:textId="77777777" w:rsidR="00880159" w:rsidRPr="00880159" w:rsidRDefault="00880159" w:rsidP="00880159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lastRenderedPageBreak/>
        <w:t>по своему усмотрению демонтировать приборы учета и (или) иное оборудование;</w:t>
      </w:r>
    </w:p>
    <w:p w14:paraId="27394A4E" w14:textId="77777777" w:rsidR="00880159" w:rsidRPr="00880159" w:rsidRDefault="00880159" w:rsidP="00880159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ограничивать к ним доступ;</w:t>
      </w:r>
    </w:p>
    <w:p w14:paraId="5BE46A60" w14:textId="77777777" w:rsidR="00880159" w:rsidRPr="00880159" w:rsidRDefault="00880159" w:rsidP="00880159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вмешиваться в процесс удаленного сбора, обработки и передачи показаний приборов учета, в любой иной форме препятствовать их использованию для обеспечения и осуществления контроля коммерческого учета электрической энергии (мощности);</w:t>
      </w:r>
    </w:p>
    <w:p w14:paraId="64D1CF1F" w14:textId="77777777" w:rsidR="00880159" w:rsidRPr="00880159" w:rsidRDefault="00880159" w:rsidP="00880159">
      <w:pPr>
        <w:numPr>
          <w:ilvl w:val="0"/>
          <w:numId w:val="2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</w:t>
      </w:r>
    </w:p>
    <w:p w14:paraId="6003C7D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Собственники (владельцы) объектов (энергопринимающих устройств), в границах балансовой принадлежности которых установлены приборы учета и (или) иное оборудование обязаны:</w:t>
      </w:r>
    </w:p>
    <w:p w14:paraId="0C15FB9E" w14:textId="77777777" w:rsidR="00880159" w:rsidRPr="00880159" w:rsidRDefault="00880159" w:rsidP="00880159">
      <w:pPr>
        <w:numPr>
          <w:ilvl w:val="0"/>
          <w:numId w:val="2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обеспечить допуск, собственника прибора учета и (или) иного оборудования для проведения соответствующих работ:</w:t>
      </w:r>
    </w:p>
    <w:p w14:paraId="42628995" w14:textId="77777777" w:rsidR="00880159" w:rsidRPr="00880159" w:rsidRDefault="00880159" w:rsidP="00880159">
      <w:pPr>
        <w:numPr>
          <w:ilvl w:val="0"/>
          <w:numId w:val="2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 замене прибора учета и (или) иного оборудования;</w:t>
      </w:r>
    </w:p>
    <w:p w14:paraId="5944E0E9" w14:textId="77777777" w:rsidR="00880159" w:rsidRPr="00880159" w:rsidRDefault="00880159" w:rsidP="00880159">
      <w:pPr>
        <w:numPr>
          <w:ilvl w:val="0"/>
          <w:numId w:val="2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работ, связанных с эксплуатацией прибора учета и (или) иного оборудования;</w:t>
      </w:r>
    </w:p>
    <w:p w14:paraId="427524EF" w14:textId="77777777" w:rsidR="00880159" w:rsidRPr="00880159" w:rsidRDefault="00880159" w:rsidP="00880159">
      <w:pPr>
        <w:numPr>
          <w:ilvl w:val="0"/>
          <w:numId w:val="2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обеспечить сохранность и целостность прибора учета и (или) иного оборудования, а также пломб и (или) знаков визуального контроля в случае, если такая обязанность предусмотрена договором;</w:t>
      </w:r>
    </w:p>
    <w:p w14:paraId="2316B9F2" w14:textId="77777777" w:rsidR="00880159" w:rsidRPr="00880159" w:rsidRDefault="00880159" w:rsidP="00880159">
      <w:pPr>
        <w:numPr>
          <w:ilvl w:val="0"/>
          <w:numId w:val="2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обязаны возместить собственнику прибора учета - сетевой организации или гарантирующему поставщику убытки, причиненные неисполнением или ненадлежащим исполнением обязанностей по обеспечению сохранности и целостности установленных сетевой организацией, гарантирующим поставщиком приборов учета и (или) иного оборудования.</w:t>
      </w:r>
    </w:p>
    <w:p w14:paraId="39E8399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Лицо, являющееся собственником расчетного прибора учета и (или) энергопринимающих устройств, в границах балансовой принадлежности (земельного участка) которого установлен расчетный прибор учета, принадлежащий другому лицу, при выявлении фактов его неисправности или утраты, обязано в течение одних суток сообщить об этом другой стороне по договору энергоснабжения (купли-продажи (поставки) электрической энергии (мощности).</w:t>
      </w:r>
    </w:p>
    <w:p w14:paraId="1CF5B33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Гарантирующий поставщик обязан в течение одних суток после получения информации, уведомить сетевую организацию.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 случае, если с таким потребителем заключены договор купли-продажи (поставки) электрической энергии (мощности) и договор оказания услуг по передаче электрической энергии, то указанную информацию потребитель обязан в течение одних суток сообщить лицу (лицам), указанному в этих договорах в качестве получателя такой информации.</w:t>
      </w:r>
    </w:p>
    <w:p w14:paraId="18EA0826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Лицо, к которому обращается потребитель,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учета, а также о последствиях нарушения таких сроков.</w:t>
      </w:r>
    </w:p>
    <w:p w14:paraId="65475D3D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установки приборов учета:</w:t>
      </w:r>
    </w:p>
    <w:p w14:paraId="7DD0D947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технологическом присоединении энергопринимающих устройств к электрическим сетям, прибор учета подлежит установке на границе балансовой принадлежности 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объектов энергопринимающих устройств смежных субъектов. По соглашению сторон – в границах балансовой принадлежности одной из сторон.</w:t>
      </w:r>
    </w:p>
    <w:p w14:paraId="502C7D1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случаях, не связанных с технологическим присоединением, прибор учета устанавливается в месте, указанном в документах о технологическом присоединении и (или) актах допуска в эксплуатацию приборов учета электрической энергии, при этом необходимо руководствоваться документом (актом), который был оформлен и подписан позднее.</w:t>
      </w:r>
    </w:p>
    <w:p w14:paraId="55C8B958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отсутствии такой информации прибор учета устанавливается:</w:t>
      </w:r>
    </w:p>
    <w:p w14:paraId="107B4FD2" w14:textId="77777777" w:rsidR="00880159" w:rsidRPr="00880159" w:rsidRDefault="00880159" w:rsidP="00880159">
      <w:pPr>
        <w:numPr>
          <w:ilvl w:val="0"/>
          <w:numId w:val="2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на границе балансовой принадлежности;</w:t>
      </w:r>
    </w:p>
    <w:p w14:paraId="65B1DF83" w14:textId="77777777" w:rsidR="00880159" w:rsidRPr="00880159" w:rsidRDefault="00880159" w:rsidP="00880159">
      <w:pPr>
        <w:numPr>
          <w:ilvl w:val="0"/>
          <w:numId w:val="2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hyperlink r:id="rId10" w:tooltip="Техническая возможность отсутствует, если выполняется хотя бы одно из следующих условий: для установки прибора учета нужно осуществить реконструкцию или капитальный ремонт; возвести новые объекты капитального строительства; невозможно обеспечить соблюдени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при отсутствии технической возможности установки прибора учета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на границе балансовой принадлежности, в месте </w:t>
      </w:r>
      <w:hyperlink r:id="rId11" w:tooltip="Местом, максимально приближенным к границе балансовой принадлежности, является место, максимально приближенное к точке поставки, в котором имеется техническая возможность установки прибора учета. Объем потребления электрической энергии, определенный на ос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максимально приближенном к границе.</w:t>
        </w:r>
      </w:hyperlink>
    </w:p>
    <w:p w14:paraId="73D8959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в отношении ветхого и (или) аварийного объекта не был допущен в эксплуатацию прибор учета, реализация обязанностей сетевой организации или гарантирующего поставщика по организации коммерческого учета осуществляется не ранее проведения собственником реконструкций, в результате которой будут устранены причины технической невозможности установки прибора учета и после получения соответствующего обращения об установке прибора.</w:t>
      </w:r>
    </w:p>
    <w:p w14:paraId="56EF4BAC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Сетевая организация вправе установить прибор учета на объектах электросетевого хозяйства (за исключением коллективных (общедомовых) приборов учета), принадлежащих на праве собственности или ином законном основании такой сетевой организации, с уведомлением собственника ветхого и (или) аварийного объекта об отсутствии необходимости устранения обстоятельств, являющихся причиной технической невозможности установки прибора учета в границах таких объектов.</w:t>
      </w:r>
    </w:p>
    <w:p w14:paraId="3536D788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установки или замены приборов учета в случаях, не связанных с технологическим присоединением:</w:t>
      </w:r>
    </w:p>
    <w:p w14:paraId="13F75247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2" w:tooltip="Установка прибора учета - работа по монтажу такого прибора учета и (или) иного оборудования, которая необходима для обеспечения коммерческого учета электрической энергии (мощности) в точке поставки. Замена прибора учета - работа по демонтажу ранее установ" w:history="1">
        <w:r w:rsidRPr="00880159">
          <w:rPr>
            <w:rFonts w:ascii="Arial" w:eastAsia="Times New Roman" w:hAnsi="Arial" w:cs="Arial"/>
            <w:b/>
            <w:bCs/>
            <w:color w:val="1667A3"/>
            <w:sz w:val="24"/>
            <w:szCs w:val="24"/>
            <w:lang w:eastAsia="ru-RU"/>
          </w:rPr>
          <w:t>Установка (замена) прибора учета электрической энергии</w:t>
        </w:r>
      </w:hyperlink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и допуск в эксплуатацию прибора учета электрической энергии должны быть осуществлены не позднее 6 месяцев:</w:t>
      </w:r>
    </w:p>
    <w:p w14:paraId="121C276A" w14:textId="77777777" w:rsidR="00880159" w:rsidRPr="00880159" w:rsidRDefault="00880159" w:rsidP="00880159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 даты истечения интервала между поверками или срока эксплуатации прибора учета, если соответствующая дата (срок) установлена в договоре энергоснабжения;</w:t>
      </w:r>
    </w:p>
    <w:p w14:paraId="5D20DB22" w14:textId="77777777" w:rsidR="00880159" w:rsidRPr="00880159" w:rsidRDefault="00880159" w:rsidP="00880159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иных случаях - с даты получения обращения потребителя, сетевой организации или иного владельца объектов электросетевого хозяйства об истечении интервала между поверками, срока эксплуатации, а также об утрате, о выходе прибора учета из строя и (или) его неисправности;</w:t>
      </w:r>
    </w:p>
    <w:p w14:paraId="50838815" w14:textId="77777777" w:rsidR="00880159" w:rsidRPr="00880159" w:rsidRDefault="00880159" w:rsidP="00880159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 даты выявления истечения срока поверки, срока эксплуатации, неисправности прибора учета в ходе проведения его проверки;</w:t>
      </w:r>
    </w:p>
    <w:p w14:paraId="61087A93" w14:textId="77777777" w:rsidR="00880159" w:rsidRPr="00880159" w:rsidRDefault="00880159" w:rsidP="00880159">
      <w:pPr>
        <w:numPr>
          <w:ilvl w:val="0"/>
          <w:numId w:val="26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 даты признания прибора учета утраченным.</w:t>
      </w:r>
    </w:p>
    <w:p w14:paraId="1D53374A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Сетевая организация или гарантирующий поставщик осуществляют действия по установке (замене) прибора учета в подтвержденные дату и время, в соответствии с направленным запросом. </w:t>
      </w:r>
      <w:hyperlink r:id="rId13" w:tooltip="Запрос на установку (замену) прибора учета должен содержать: ·реквизиты и контактные данные лица, направившего запрос, включая номер телефона, а также причины установки либо замены ранее установленного прибора учета; ·место нахождения энергопринимающих ус" w:history="1">
        <w:r w:rsidRPr="00880159">
          <w:rPr>
            <w:rFonts w:ascii="Arial" w:eastAsia="Times New Roman" w:hAnsi="Arial" w:cs="Arial"/>
            <w:b/>
            <w:bCs/>
            <w:color w:val="1667A3"/>
            <w:sz w:val="24"/>
            <w:szCs w:val="24"/>
            <w:lang w:eastAsia="ru-RU"/>
          </w:rPr>
          <w:t>Запрос</w:t>
        </w:r>
      </w:hyperlink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на установку (замену) прибора учета направляется способом, позволяющим подтвердить факт его получения, в адрес следующих организаций (лиц):</w:t>
      </w:r>
    </w:p>
    <w:p w14:paraId="1C7CDC37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Сетевая организация направляет:</w:t>
      </w:r>
    </w:p>
    <w:p w14:paraId="7D18E4A5" w14:textId="77777777" w:rsidR="00880159" w:rsidRPr="00880159" w:rsidRDefault="00880159" w:rsidP="00880159">
      <w:pPr>
        <w:numPr>
          <w:ilvl w:val="0"/>
          <w:numId w:val="27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гарантирующему поставщику (</w:t>
      </w:r>
      <w:proofErr w:type="spell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энергосбытовой</w:t>
      </w:r>
      <w:proofErr w:type="spellEnd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, </w:t>
      </w:r>
      <w:proofErr w:type="spell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энергоснабжающей</w:t>
      </w:r>
      <w:proofErr w:type="spellEnd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организации, с которым в отношении таких энергопринимающих устройств заключен договор энергоснабжения (купли-продажи (поставки) электрической энергии);</w:t>
      </w:r>
    </w:p>
    <w:p w14:paraId="3F0896C3" w14:textId="77777777" w:rsidR="00880159" w:rsidRPr="00880159" w:rsidRDefault="00880159" w:rsidP="00880159">
      <w:pPr>
        <w:numPr>
          <w:ilvl w:val="0"/>
          <w:numId w:val="27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собственнику (владельцу) энергопринимающих устройств (объектов электросетевого хозяйства), в отношении которых планируется установка либо замена прибора учета.</w:t>
      </w:r>
    </w:p>
    <w:p w14:paraId="478C846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Гарантирующий поставщик направляет:</w:t>
      </w:r>
    </w:p>
    <w:p w14:paraId="74BFCA17" w14:textId="77777777" w:rsidR="00880159" w:rsidRPr="00880159" w:rsidRDefault="00880159" w:rsidP="0088015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лицу, осуществляющему управление многоквартирным домом, а при непосредственном управлении собственниками помещений в многоквартирном доме - лицу, уполномоченному общим собранием собственников помещений;</w:t>
      </w:r>
    </w:p>
    <w:p w14:paraId="7CB8C56B" w14:textId="77777777" w:rsidR="00880159" w:rsidRPr="00880159" w:rsidRDefault="00880159" w:rsidP="0088015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сетевой организации, к объектам электросетевого хозяйства которой присоединен многоквартирный дом;</w:t>
      </w:r>
    </w:p>
    <w:p w14:paraId="577A9DD2" w14:textId="77777777" w:rsidR="00880159" w:rsidRPr="00880159" w:rsidRDefault="00880159" w:rsidP="00880159">
      <w:pPr>
        <w:numPr>
          <w:ilvl w:val="0"/>
          <w:numId w:val="28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собственнику (владельцу) нежилого помещения многоквартирного дома, электроснабжение которого осуществляется с использованием общего имущества.</w:t>
      </w:r>
    </w:p>
    <w:p w14:paraId="1605563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 течение 10 рабочих дней со дня получения запроса, собственник (лицо) обязаны, либо:</w:t>
      </w:r>
    </w:p>
    <w:p w14:paraId="65C81B32" w14:textId="77777777" w:rsidR="00880159" w:rsidRPr="00880159" w:rsidRDefault="00880159" w:rsidP="00880159">
      <w:pPr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подтвердить предложенные дату и время допуска к местам установки приборов учета для совершения действий по установке (замене) и допуску в эксплуатацию приборов учета;</w:t>
      </w:r>
    </w:p>
    <w:p w14:paraId="48C82A00" w14:textId="77777777" w:rsidR="00880159" w:rsidRPr="00880159" w:rsidRDefault="00880159" w:rsidP="00880159">
      <w:pPr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согласовать иные дату и (или) время;</w:t>
      </w:r>
    </w:p>
    <w:p w14:paraId="42001DDD" w14:textId="77777777" w:rsidR="00880159" w:rsidRPr="00880159" w:rsidRDefault="00880159" w:rsidP="00880159">
      <w:pPr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вправе отказать в установке прибора учета при отсутствии технической возможности установки прибора учета в месте, указанном в запросе. При этом, если таким собственником (владельцем) объектов электросетевого хозяйства является сетевая организация, она обязана указать в своем отказе возможные места установки прибора учета.</w:t>
      </w:r>
    </w:p>
    <w:p w14:paraId="1986754A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 направлении, в установленный срок, ответа на запрос, при получении ответа об отказе в установке прибора учета или при двукратном не допуске к месту установки прибора учета, но не ранее 4 месяцев с момента первого не допуска, прибор учета подлежит установке в ином месте, максимально приближенном к границе балансовой принадлежности, с уведомлением лиц, которым направлялся запрос на установку (замену) прибора учета, о смене места установки с указанием адреса такого места иных лиц, которые принимают участие в процедуре допуска прибора учета в эксплуатацию.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После двукратного не допуска, объем потребления электрической энергии для расчета за потребленную электрическую энергию (мощность) и оказанные услуги по передаче электрической энергии, определяются в порядке, предусмотренном пунктом </w:t>
      </w:r>
      <w:hyperlink r:id="rId14" w:tooltip="Объем потребления и оказанных услуг по передаче электрической энергии с даты 2-го недопуска вплоть до даты допуска к расчетному прибору учета определяется исходя из увеличенных в 1,5 раза значений, определенных на основании контрольного прибора учета, а п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182 Правил.</w:t>
        </w:r>
      </w:hyperlink>
    </w:p>
    <w:p w14:paraId="564E4EBB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допуска в эксплуатацию прибора учета:</w:t>
      </w:r>
    </w:p>
    <w:p w14:paraId="152F3447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Сетевые организации и гарантирующие поставщики осуществляют </w:t>
      </w:r>
      <w:hyperlink r:id="rId15" w:tooltip="Допуск прибора учета в эксплуатацию - процедура, в ходе которой проверяется и определяется готовность прибора учета к его использованию при осуществлении расчетов за электрическую энергию (мощность) и которая завершается документальным оформлением результ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допуск в эксплуатацию приборов учета</w:t>
        </w:r>
      </w:hyperlink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которые установлены для обеспечения коммерческого учета электрической энергии.</w:t>
      </w:r>
    </w:p>
    <w:p w14:paraId="4EF5413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Процедура допуска в эксплуатацию прибора учета не требуется в случае, если в рамках процедуры установки (замены) прибора учета сохраняются контрольные пломбы и знаки визуального контроля, установленные ранее при допуске в эксплуатацию соответствующего прибора учета.</w:t>
      </w:r>
    </w:p>
    <w:p w14:paraId="31D2AD86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технологическом присоединении энергопринимающих устройств потребителей электрической энергии к электрическим сетям, допуск в эксплуатацию приборов учета электрической энергии, установленных в процессе технологического присоединения, осуществляется сетевой организацией одновременно с осмотром присоединяемых электроустановок заявителя, предусмотренным Правилами технологического присоединения.</w:t>
      </w:r>
    </w:p>
    <w:p w14:paraId="7A57B469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допуска в эксплуатацию прибора учета, установленного в процессе технологического присоединения, сетевая организация, если иное не установлено Правилами технологического присоединения, обязана за 3 календарных дня до проведения осмотра пригласить для участия в процедуре допуска гарантирующего поставщика, с которым заявитель намеревается заключить договор энергоснабжения (купли-продажи (поставки) электрической энергии (мощности), собственника (владельца) энергопринимающих устройств (объектов электросетевого хозяйства).</w:t>
      </w:r>
    </w:p>
    <w:p w14:paraId="11B10BF8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 окончании допуска в эксплуатацию прибора учета:</w:t>
      </w:r>
    </w:p>
    <w:p w14:paraId="5024EB41" w14:textId="77777777" w:rsidR="00880159" w:rsidRPr="00880159" w:rsidRDefault="00880159" w:rsidP="00880159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организацией, осуществляющей допуск в эксплуатацию прибора учета, устанавливается контрольная одноразовая номерная пломба и (или) знаки визуального контроля (далее - контрольная пломба);</w:t>
      </w:r>
    </w:p>
    <w:p w14:paraId="3362055D" w14:textId="77777777" w:rsidR="00880159" w:rsidRPr="00880159" w:rsidRDefault="00880159" w:rsidP="00880159">
      <w:pPr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составляется </w:t>
      </w:r>
      <w:hyperlink r:id="rId16" w:tooltip="Акт допуска прибора учета электрической энергии в эксплуатацию составляется в количестве экземпляров, равном числу приглашенных лиц, и подписывается уполномоченными представителями приглашенных лиц, которые приняли участие в процедуре допуска прибора учет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акт допуска прибора учета электрической энергии в эксплуатацию,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с указанием выбранного потребителем способа направления уведомления о присоединении прибора учета электрической энергии к интеллектуальной системе учета электрической энергии (мощности).</w:t>
      </w:r>
    </w:p>
    <w:p w14:paraId="52749813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 допуска прибора учета электрической энергии в эксплуатацию составляется в количестве экземпляров, равном числу приглашенных лиц, и подписывается уполномоченными представителями приглашенных лиц, которые приняли участие в процедуре допуска прибора учета в эксплуатацию. При отказе уполномоченного представителя приглашенного лица от подписания составленного акта в нем делается соответствующая отметка. Отказ уполномоченного представителя приглашенного лица от подписания составленного акта, не является основанием для не допуска прибора учета в эксплуатацию.</w:t>
      </w:r>
    </w:p>
    <w:p w14:paraId="5DFB0231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неявки приглашенных лиц, процедура допуска проводится без их участия. Лицо, составившее акт допуска прибора учета в эксплуатацию, обязано в течение 2 рабочих дней со дня проведения такой процедуры направить копии такого акта лицам, не явившимся для участия в процедуре допуска прибора учета в эксплуатацию.</w:t>
      </w:r>
    </w:p>
    <w:p w14:paraId="01900438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точек присоединения к объектам электросетевого хозяйства напряжением свыше 1 кВ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 </w:t>
      </w:r>
      <w:hyperlink r:id="rId17" w:tooltip="Паспорт-протокол измерительного комплекса должен содержать в том числе описание прибора учета и измерительных трансформаторов (номер, тип, дату поверки), интервал между поверками, расчет погрешности измерительного комплекса, величину падения напряжения в 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паспорт-протокол измерительного комплекса.</w:t>
        </w:r>
      </w:hyperlink>
    </w:p>
    <w:p w14:paraId="0CFE99D6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Демонтаж прибора учета и (или) иного оборудования, не связанный с его заменой:</w:t>
      </w:r>
    </w:p>
    <w:p w14:paraId="1E6050C8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Демонтаж приборов учета и (или) иного оборудования для случаев, не связанных с их заменой, допускается при необходимости проведения работ по капитальному ремонту или реконструкции объектов в местах установки соответствующих приборов учета.</w:t>
      </w:r>
    </w:p>
    <w:p w14:paraId="7007C3CF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Собственники приборов учета и (или) иного оборудования, а также собственники (владельцы) объектов (энергопринимающих устройств), на которых установлены приборы учета и (или) иное оборудование обязаны направить уведомление способом, позволяющим подтвердить факт его получения, в адрес сетевой организации или гарантирующего поставщика.</w:t>
      </w:r>
    </w:p>
    <w:p w14:paraId="74EFD8C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Уведомление должно содержать предлагаемые дату и время демонтажа прибора учета и причины такого демонтажа, но не ранее 7 рабочих дней со дня его направления.</w:t>
      </w:r>
    </w:p>
    <w:p w14:paraId="305BC37A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невозможности исполнения заявки в предложенный срок, в течение 5 рабочих дней со дня получения уведомления, предлагается иные дата и время, не превышающие 10 рабочих дней с даты и времени, которые предложены в заявке.</w:t>
      </w:r>
    </w:p>
    <w:p w14:paraId="4B66E4E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Показания прибора учета, состояние демонтируемого прибора учета и (или) измерительных трансформаторов, схемы их подключения, на дату проведения демонтажа действий, фиксируются сетевой организацией или гарантирующим поставщиком - в отношении коллективных (общедомовых) приборов учета в акте демонтажа прибора учета.</w:t>
      </w:r>
    </w:p>
    <w:p w14:paraId="45694E7C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Подписанный акт передается приглашенным лицам, копия акта направляется в течение 3 рабочих дней, со дня составления, приглашенным лицам, которые не приняли участие в процедуре демонтажа прибора учета и (или) иного оборудования.</w:t>
      </w:r>
    </w:p>
    <w:p w14:paraId="73F4C495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Прибор учета должен быть установлен не позднее 6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в соответствии с пунктом 179 Правил, на основании </w:t>
      </w:r>
      <w:hyperlink r:id="rId18" w:tooltip="Замещающей информацией являю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замещающей информации</w:t>
        </w:r>
      </w:hyperlink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0268AA8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и внеплановые проверки расчетных приборов:</w:t>
      </w:r>
    </w:p>
    <w:p w14:paraId="31A212B1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Проверки расчетных приборов осуществляются:</w:t>
      </w:r>
    </w:p>
    <w:p w14:paraId="31B3EAF7" w14:textId="77777777" w:rsidR="00880159" w:rsidRPr="00880159" w:rsidRDefault="00880159" w:rsidP="00880159">
      <w:pPr>
        <w:numPr>
          <w:ilvl w:val="0"/>
          <w:numId w:val="3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сетевой организацией - в отношении расчетных приборов учета, не присоединенных к интеллектуальным системам учета электрической энергии (мощности), в соответствии с планом-графиком проведения проверок расчетных приборов учета;</w:t>
      </w:r>
    </w:p>
    <w:p w14:paraId="5E49D753" w14:textId="77777777" w:rsidR="00880159" w:rsidRPr="00880159" w:rsidRDefault="00880159" w:rsidP="00880159">
      <w:pPr>
        <w:numPr>
          <w:ilvl w:val="0"/>
          <w:numId w:val="3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гарантирующим поставщиком - в отношении коллективных (общедомовых) приборов учета.</w:t>
      </w:r>
    </w:p>
    <w:p w14:paraId="51D683F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Проверки расчетных приборов учета включают:</w:t>
      </w:r>
    </w:p>
    <w:p w14:paraId="2D906089" w14:textId="77777777" w:rsidR="00880159" w:rsidRPr="00880159" w:rsidRDefault="00880159" w:rsidP="00880159">
      <w:pPr>
        <w:numPr>
          <w:ilvl w:val="0"/>
          <w:numId w:val="3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визуальный осмотр схемы подключения энергопринимающих устройств и схем соединения приборов учета;</w:t>
      </w:r>
    </w:p>
    <w:p w14:paraId="16D43326" w14:textId="77777777" w:rsidR="00880159" w:rsidRPr="00880159" w:rsidRDefault="00880159" w:rsidP="00880159">
      <w:pPr>
        <w:numPr>
          <w:ilvl w:val="0"/>
          <w:numId w:val="3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проверку соответствия приборов учета требованиям Правил;</w:t>
      </w:r>
    </w:p>
    <w:p w14:paraId="65BB084D" w14:textId="77777777" w:rsidR="00880159" w:rsidRPr="00880159" w:rsidRDefault="00880159" w:rsidP="00880159">
      <w:pPr>
        <w:numPr>
          <w:ilvl w:val="0"/>
          <w:numId w:val="3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проверку состояния прибора учета, наличия и сохранности контрольных пломб и знаков визуального контроля, в том числе соответствия пломб </w:t>
      </w:r>
      <w:proofErr w:type="spell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поверителя</w:t>
      </w:r>
      <w:proofErr w:type="spellEnd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оттиску в свидетельстве о поверке и (или) записи в паспорте (формуляре) средства измерений;</w:t>
      </w:r>
    </w:p>
    <w:p w14:paraId="533A6776" w14:textId="77777777" w:rsidR="00880159" w:rsidRPr="00880159" w:rsidRDefault="00880159" w:rsidP="00880159">
      <w:pPr>
        <w:numPr>
          <w:ilvl w:val="0"/>
          <w:numId w:val="3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снятие показаний приборов учета.</w:t>
      </w:r>
    </w:p>
    <w:p w14:paraId="029FEC8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Проверка проводится не реже одного раза в год и может осуществляться в виде </w:t>
      </w:r>
      <w:hyperlink r:id="rId19" w:tooltip="Под инструментальной проверкой понимается процесс оценки работоспособности прибора учета (измерительных трансформаторов и других элементов), заключающийся в проведении визуальной проверки и проверки характеристик элементов измерительного комплекса, устрой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инструментальной проверки</w:t>
        </w:r>
      </w:hyperlink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C4144D7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Проверки приборов учета осуществляются с использованием средств фотосъемки и (или) видеозаписи и подлежат хранению, а также передаются вместе с актом о неучтенном потреблении электрической энергии.</w:t>
      </w:r>
    </w:p>
    <w:p w14:paraId="7EFAD17B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Плановые проверки приборов учета - проводятся в отношении приборов учета, не присоединенных к интеллектуальным системам учета электрической энергии (мощности), в соответствии с планом – графика проверок.</w:t>
      </w:r>
    </w:p>
    <w:p w14:paraId="774369AB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Основаниями для проведения внеплановой проверки приборов учета являются:</w:t>
      </w:r>
    </w:p>
    <w:p w14:paraId="7039CD6A" w14:textId="77777777" w:rsidR="00880159" w:rsidRPr="00880159" w:rsidRDefault="00880159" w:rsidP="00880159">
      <w:pPr>
        <w:numPr>
          <w:ilvl w:val="0"/>
          <w:numId w:val="3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заявление гарантирующего поставщика о необходимости проведения внеплановой проверки приборов учета;</w:t>
      </w:r>
    </w:p>
    <w:p w14:paraId="748A44EE" w14:textId="77777777" w:rsidR="00880159" w:rsidRPr="00880159" w:rsidRDefault="00880159" w:rsidP="00880159">
      <w:pPr>
        <w:numPr>
          <w:ilvl w:val="0"/>
          <w:numId w:val="3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заявление потребителя;</w:t>
      </w:r>
    </w:p>
    <w:p w14:paraId="77834E2D" w14:textId="77777777" w:rsidR="00880159" w:rsidRPr="00880159" w:rsidRDefault="00880159" w:rsidP="00880159">
      <w:pPr>
        <w:numPr>
          <w:ilvl w:val="0"/>
          <w:numId w:val="3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выявление факта нарушения сохранности контрольных пломб и (или) знаков визуального контроля при проведении снятия показаний или осмотра состояния расчетного прибора учета перед его демонтажем;</w:t>
      </w:r>
    </w:p>
    <w:p w14:paraId="035B0DF6" w14:textId="77777777" w:rsidR="00880159" w:rsidRPr="00880159" w:rsidRDefault="00880159" w:rsidP="00880159">
      <w:pPr>
        <w:numPr>
          <w:ilvl w:val="0"/>
          <w:numId w:val="3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срабатывание индикаторов вскрытия электронных пломб на корпусе и </w:t>
      </w:r>
      <w:proofErr w:type="spell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клеммной</w:t>
      </w:r>
      <w:proofErr w:type="spellEnd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крышки прибора учета, присоединенного к интеллектуальной системе учета электрической энергии (мощности);</w:t>
      </w:r>
    </w:p>
    <w:p w14:paraId="57334259" w14:textId="77777777" w:rsidR="00880159" w:rsidRPr="00880159" w:rsidRDefault="00880159" w:rsidP="00880159">
      <w:pPr>
        <w:numPr>
          <w:ilvl w:val="0"/>
          <w:numId w:val="3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неработоспособности прибора учета электрической энергии вследствие аппаратного или программного </w:t>
      </w:r>
      <w:proofErr w:type="gram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сбоя</w:t>
      </w:r>
      <w:proofErr w:type="gramEnd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или отсутствия дистанционного опроса такого прибора учета, присоединенного к интеллектуальной системе учета электрической энергии (мощности) в течение одного месяца;</w:t>
      </w:r>
    </w:p>
    <w:p w14:paraId="64854212" w14:textId="77777777" w:rsidR="00880159" w:rsidRPr="00880159" w:rsidRDefault="00880159" w:rsidP="00880159">
      <w:pPr>
        <w:numPr>
          <w:ilvl w:val="0"/>
          <w:numId w:val="3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отсутствие показаний расчетного прибора учета 2 и более расчетных периодов подряд.</w:t>
      </w:r>
    </w:p>
    <w:p w14:paraId="6744A266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если внеплановая проверка приборов учета проводится по заявлению потребителя, то сетевая организация обязана пригласить гарантирующего поставщика. Потребитель вправе привлекать к участию в проверке со своей стороны аккредитованных, в установленном порядке в области обеспечения единства измерений, юридических лиц (индивидуальных предпринимателей).</w:t>
      </w:r>
    </w:p>
    <w:p w14:paraId="4F17188B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Результаты проверки оформляются актом. Акт составляется в количестве экземпляров по числу лиц, участвовавших в проведении контрольного снятия показаний. При отказе потребителя от подписания акта в нем указывается причина такого отказа.</w:t>
      </w:r>
    </w:p>
    <w:p w14:paraId="44155F2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Копия акта, в течение 3 рабочих дней после его составления, передается гарантирующему поставщику, если гарантирующий поставщик не участвовал в проведении контрольного снятия показаний.</w:t>
      </w:r>
    </w:p>
    <w:p w14:paraId="02EFCF55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Если для проведения проверки приборов учета требуется допуск к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энергопринимающим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устройствам потребителя, то лицо, проводящее проверку, за 5 рабочих дней до планируемой даты проведения проверки уведомляет потребителя о дате и времени проведения такой проверки, а также о последствиях не допуска к расчетным приборам учета.</w:t>
      </w:r>
    </w:p>
    <w:p w14:paraId="44F1AEE5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несогласии потребителя с предложенными датой и (или) временем проведения проверки потребитель направляет предложение об иных дате и (или) времени, но не позднее 10 рабочих дней со дня предложенной даты, после чего стороны обязаны согласовать иные дату и (или) время.</w:t>
      </w:r>
    </w:p>
    <w:p w14:paraId="06CF57D2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случае не допуска потребителем лица, проводящего проверку прибора учета, к расчетным приборам учета в согласованные дату и время, лицо, проводящее проверку, 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повторно направляет потребителю уведомление с указанием даты и времени проведения проверки расчетных приборов учета, а также информацию о последствиях повторного не допуска к таким приборам учета в соответствии с пунктом </w:t>
      </w:r>
      <w:hyperlink r:id="rId20" w:tooltip="Объем потребления и оказанных услуг по передаче электрической энергии с даты 2-го недопуска вплоть до даты допуска к расчетному прибору учета определяется исходя из увеличенных в 1,5 раза значений, определенных на основании контрольного прибора учета, а п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182 Правил</w:t>
        </w:r>
      </w:hyperlink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B68C87D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проведения проверки приборов учета, установленных в отношении энергопринимающих устройств, опосредованно присоединенных к объектам электросетевого хозяйства сетевой организации, лицо, проводящее проверку, приглашает лицо, к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энергопринимающим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устройствам которого непосредственно присоединены такие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энергопринимающие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устройства.</w:t>
      </w:r>
    </w:p>
    <w:p w14:paraId="5DE03BE6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Результатом проверки прибора учета является заключение:</w:t>
      </w:r>
    </w:p>
    <w:p w14:paraId="7E66D43F" w14:textId="77777777" w:rsidR="00880159" w:rsidRPr="00880159" w:rsidRDefault="00880159" w:rsidP="00880159">
      <w:pPr>
        <w:numPr>
          <w:ilvl w:val="0"/>
          <w:numId w:val="3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 пригодности расчетного прибора учета для осуществления расчетов за потребленную электрическую энергию;</w:t>
      </w:r>
    </w:p>
    <w:p w14:paraId="49E97217" w14:textId="77777777" w:rsidR="00880159" w:rsidRPr="00880159" w:rsidRDefault="00880159" w:rsidP="00880159">
      <w:pPr>
        <w:numPr>
          <w:ilvl w:val="0"/>
          <w:numId w:val="3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 соответствии (несоответствии) расчетного прибора учета требованиям, предъявляемым к такому прибору учета;</w:t>
      </w:r>
    </w:p>
    <w:p w14:paraId="1BCACA47" w14:textId="77777777" w:rsidR="00880159" w:rsidRPr="00880159" w:rsidRDefault="00880159" w:rsidP="00880159">
      <w:pPr>
        <w:numPr>
          <w:ilvl w:val="0"/>
          <w:numId w:val="3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 наличии (об отсутствии) </w:t>
      </w:r>
      <w:proofErr w:type="spell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fldChar w:fldCharType="begin"/>
      </w: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instrText xml:space="preserve"> HYPERLINK "https://www.dvec.ru/electric_market/uchet/" \o "Безучетное потребление - потребление электрической энергии с нарушением установленного договором энергоснабжения (купли-продажи (поставки) электрической энергии (мощности),  оказания услуг по передаче электрической энергии) порядка учета электрической эне" </w:instrText>
      </w: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fldChar w:fldCharType="separate"/>
      </w:r>
      <w:r w:rsidRPr="00880159">
        <w:rPr>
          <w:rFonts w:ascii="Arial" w:eastAsia="Times New Roman" w:hAnsi="Arial" w:cs="Arial"/>
          <w:i/>
          <w:iCs/>
          <w:color w:val="1667A3"/>
          <w:sz w:val="24"/>
          <w:szCs w:val="24"/>
          <w:u w:val="single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i/>
          <w:iCs/>
          <w:color w:val="1667A3"/>
          <w:sz w:val="24"/>
          <w:szCs w:val="24"/>
          <w:u w:val="single"/>
          <w:lang w:eastAsia="ru-RU"/>
        </w:rPr>
        <w:t xml:space="preserve"> потребления</w:t>
      </w: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fldChar w:fldCharType="end"/>
      </w: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или о признании расчетного </w:t>
      </w:r>
      <w:hyperlink r:id="rId21" w:tooltip="Под утратой прибора учета понимается отсутствие результатов измерений и информации о состоянии такого прибора учета  по истечении 180 дней с даты последнего снятия показаний с прибора учета, в том числе вследствие двукратного недопуска сетевой организации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прибора учета утраченным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</w:t>
      </w:r>
    </w:p>
    <w:p w14:paraId="4DBECB2D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акте проверки расчетного прибора учета должны быть указаны:</w:t>
      </w:r>
    </w:p>
    <w:p w14:paraId="2B855ED5" w14:textId="77777777" w:rsidR="00880159" w:rsidRPr="00880159" w:rsidRDefault="00880159" w:rsidP="00880159">
      <w:pPr>
        <w:numPr>
          <w:ilvl w:val="0"/>
          <w:numId w:val="3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дата, время и адрес проведения проверки, форма проверки и основание для проведения проверки;</w:t>
      </w:r>
    </w:p>
    <w:p w14:paraId="3693D0EB" w14:textId="77777777" w:rsidR="00880159" w:rsidRPr="00880159" w:rsidRDefault="00880159" w:rsidP="00880159">
      <w:pPr>
        <w:numPr>
          <w:ilvl w:val="0"/>
          <w:numId w:val="3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лица, принявшие участие в проверке;</w:t>
      </w:r>
    </w:p>
    <w:p w14:paraId="5FC2A268" w14:textId="77777777" w:rsidR="00880159" w:rsidRPr="00880159" w:rsidRDefault="00880159" w:rsidP="00880159">
      <w:pPr>
        <w:numPr>
          <w:ilvl w:val="0"/>
          <w:numId w:val="3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лица, приглашенные для участия в проверке, но не принявшие в ней участие;</w:t>
      </w:r>
    </w:p>
    <w:p w14:paraId="48DD6438" w14:textId="77777777" w:rsidR="00880159" w:rsidRPr="00880159" w:rsidRDefault="00880159" w:rsidP="00880159">
      <w:pPr>
        <w:numPr>
          <w:ilvl w:val="0"/>
          <w:numId w:val="3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характеристики и место установки проверяемого расчетного прибора учета (измерительных трансформаторов - при их наличии), показания прибора учета на момент проверки и дата истечения интервала между поверками прибора учета (измерительных трансформаторов);</w:t>
      </w:r>
    </w:p>
    <w:p w14:paraId="705A9C85" w14:textId="77777777" w:rsidR="00880159" w:rsidRPr="00880159" w:rsidRDefault="00880159" w:rsidP="00880159">
      <w:pPr>
        <w:numPr>
          <w:ilvl w:val="0"/>
          <w:numId w:val="3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соответствие оттиску </w:t>
      </w:r>
      <w:proofErr w:type="spell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поверителя</w:t>
      </w:r>
      <w:proofErr w:type="spellEnd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в свидетельстве о поверке и (или) записи в паспорте (формуляре) средства измерений и место установки контрольных пломб и знаков визуального контроля, установленных на момент начала проверки, а также вновь установленных (если они менялись в ходе проверки);</w:t>
      </w:r>
    </w:p>
    <w:p w14:paraId="5F3394E6" w14:textId="77777777" w:rsidR="00880159" w:rsidRPr="00880159" w:rsidRDefault="00880159" w:rsidP="00880159">
      <w:pPr>
        <w:numPr>
          <w:ilvl w:val="0"/>
          <w:numId w:val="3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результат проверки;</w:t>
      </w:r>
    </w:p>
    <w:p w14:paraId="58E41BB0" w14:textId="77777777" w:rsidR="00880159" w:rsidRPr="00880159" w:rsidRDefault="00880159" w:rsidP="00880159">
      <w:pPr>
        <w:numPr>
          <w:ilvl w:val="0"/>
          <w:numId w:val="3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характеристики используемого при проведении проверки оборудования, в случае если проводится инструментальная проверка;</w:t>
      </w:r>
    </w:p>
    <w:p w14:paraId="42070A80" w14:textId="77777777" w:rsidR="00880159" w:rsidRPr="00880159" w:rsidRDefault="00880159" w:rsidP="00880159">
      <w:pPr>
        <w:numPr>
          <w:ilvl w:val="0"/>
          <w:numId w:val="35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лица, отказавшиеся от подписания акта проверки либо несогласные с указанными в акте результатами проверки, и причины такого отказа либо несогласия.</w:t>
      </w:r>
    </w:p>
    <w:p w14:paraId="232AA8F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несогласии лица, принимавшего участие в проверке прибора учета,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несогласия.</w:t>
      </w:r>
    </w:p>
    <w:p w14:paraId="36A1DF9B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Расчет объема </w:t>
      </w:r>
      <w:proofErr w:type="spellStart"/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бездоговорного потребления:</w:t>
      </w:r>
    </w:p>
    <w:p w14:paraId="7B0C1426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По факту выявленного в ходе проверки </w:t>
      </w:r>
      <w:proofErr w:type="spellStart"/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потребления или бездоговорного потребления электрической энергии составляется акт о неучтенном потреблении электрической энергии и не позднее 3 рабочих дней с даты его составления передается в адрес:</w:t>
      </w:r>
    </w:p>
    <w:p w14:paraId="196DE3A7" w14:textId="77777777" w:rsidR="00880159" w:rsidRPr="00880159" w:rsidRDefault="00880159" w:rsidP="00880159">
      <w:pPr>
        <w:numPr>
          <w:ilvl w:val="0"/>
          <w:numId w:val="36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lastRenderedPageBreak/>
        <w:t>гарантирующего поставщика;</w:t>
      </w:r>
    </w:p>
    <w:p w14:paraId="27C33C3C" w14:textId="77777777" w:rsidR="00880159" w:rsidRPr="00880159" w:rsidRDefault="00880159" w:rsidP="00880159">
      <w:pPr>
        <w:numPr>
          <w:ilvl w:val="0"/>
          <w:numId w:val="36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лица, осуществившего бездоговорное потребление.</w:t>
      </w:r>
    </w:p>
    <w:p w14:paraId="07EA96FA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Факт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может быть выявлен, в том числе при проведении проверки состояния приборов учета, а также в ходе проведения осмотра прибора учета перед его демонтажем.</w:t>
      </w:r>
    </w:p>
    <w:p w14:paraId="4DAEABB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случае если сетевая организация не присутствовала при проведении гарантирующим поставщиком проверки состояния приборов учета, в результате которой был выявлен факт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потребления, то акт о неучтенном потреблении электрической энергии составляется гарантирующим поставщиком и не позднее 3 рабочих дней со дня его составления передается в сетевую организацию.</w:t>
      </w:r>
    </w:p>
    <w:p w14:paraId="40FF7755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 факту выявленного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потребления, расчетный прибор учета признается вышедшим из строя.</w:t>
      </w:r>
    </w:p>
    <w:p w14:paraId="2391D385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Расчет объема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направляется сетевой организацией гарантирующему поставщику вместе с актом о неучтенном потреблении электрической энергии не позднее 3 рабочих дней с даты его составления.</w:t>
      </w:r>
    </w:p>
    <w:p w14:paraId="2C6C4E6A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Объем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в отношении потребителей электрической энергии (мощности), за исключением населения и приравненных к нему категорий потребителей, определяется с применением расчетного способа, </w:t>
      </w:r>
      <w:hyperlink r:id="rId22" w:tooltip="Как произведение максимальной мощности и количества часов в расчетном периоде, используемое при расчете безучетного потребления, но не более 4380 часов. При определении объема безучетного потребления количество часов потребления электрической энергии приз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предусмотренного подпунктом «а» пункта 1 приложения N 3 </w:t>
        </w:r>
      </w:hyperlink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Основных положений функционирования розничных рынков электрической энергии, у утвержденных </w:t>
      </w:r>
      <w:hyperlink r:id="rId23" w:tgtFrame="_blank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постановлением Правительства РФ от 04.05.2012 N 442</w:t>
        </w:r>
      </w:hyperlink>
    </w:p>
    <w:p w14:paraId="5208FBB8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Объем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определяется с даты предыдущей проверки прибора учета (в случае если такая проверка не была проведена в запланированные сроки, - определяется с даты, не позднее которой она должна была быть проведена в соответствии с настоящим документом) до даты выявления факта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и составления акта о неучтенном потреблении электрической энергии.</w:t>
      </w:r>
    </w:p>
    <w:p w14:paraId="3DAD991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Стоимость электрической энергии в объеме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включается гарантирующим поставщиком в выставляемый потребителю (покупателю) счет на оплату стоимости электрической энергии (мощности), приобретенной по договору, за тот расчетный период, в котором был выявлен факт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и составлен акт о неучтенном потреблении электрической энергии.</w:t>
      </w:r>
    </w:p>
    <w:p w14:paraId="47D5BEC6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Потребитель (покупатель) обязан оплатить счет в срок, определенный в договоре.</w:t>
      </w:r>
    </w:p>
    <w:p w14:paraId="6E04821A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даты составления акта о неучтенном потреблении электрической энергии до даты замены прибора учета объем потребления электрической энергии (мощности) определяется в порядке, предусмотренном требованиями пункта 179 Правил, </w:t>
      </w:r>
      <w:hyperlink r:id="rId24" w:tooltip="Замещающей информацией являю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по замещающей информации.</w:t>
        </w:r>
      </w:hyperlink>
    </w:p>
    <w:p w14:paraId="3E0006EC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Объем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в отношении приравненных к населению категорий потребителей определяется исходя из объема,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10, а при отсутствии указанных показаний - на основании показаний расчетного прибора учета за ближайший расчетный период, когда такие показания были представлены, с применением повышающего коэффициента 10.</w:t>
      </w:r>
    </w:p>
    <w:p w14:paraId="22165FBB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Объем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безучетного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потребления в отношении населения определяется в порядке, предусмотренном Правилами предоставления коммунальных услуг собственникам и пользователям помещений в многоквартирных домах и жилых домов, утвержденными </w:t>
      </w:r>
      <w:hyperlink r:id="rId25" w:tgtFrame="_blank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постановлением Правительства Российской Федерации от 06.05.2011 N 354 «О предоставлении коммунальных услуг собственникам и пользователям помещений в многоквартирных домах и жилых домов»</w:t>
        </w:r>
      </w:hyperlink>
    </w:p>
    <w:p w14:paraId="4F635429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Объем бездоговорного потребления электрической энергии определяется расчетным способом, предусмотренным пунктом 2 приложения N 3 Основных положений функционирования розничных рынков электрической энергии, утвержденных </w:t>
      </w:r>
      <w:hyperlink r:id="rId26" w:tgtFrame="_blank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постановлением Правительства РФ от 04.05.2012 N 442</w:t>
        </w:r>
      </w:hyperlink>
    </w:p>
    <w:p w14:paraId="30A090D2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Объем определяется за период времени, в течение которого осуществлялось бездоговорное потребление электрической энергии, но не более чем за один год.</w:t>
      </w:r>
    </w:p>
    <w:p w14:paraId="1AE09FA8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Стоимость объема бездоговорного потребления за весь период его осуществления рассчитывается исходя из цены, по которой сетевая организация приобретает электрическую энергию (мощность) в целях компенсации потерь в объеме, не превышающем объема потерь, учтенного в сводном прогнозном балансе, в тот же расчетный период, в котором составлен акт о неучтенном потреблении электрической энергии, и тарифа на услуги по передаче электрической энергии на соответствующем уровне напряжения.</w:t>
      </w:r>
    </w:p>
    <w:p w14:paraId="3659C1EE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объема потребления электрической энергии (мощности):</w:t>
      </w:r>
    </w:p>
    <w:p w14:paraId="2C718F65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1. Определение объема потребления электрической энергии (мощности) на розничных рынках, осуществляется на основании (в соответствии):</w:t>
      </w:r>
    </w:p>
    <w:p w14:paraId="1B96D78E" w14:textId="77777777" w:rsidR="00880159" w:rsidRPr="00880159" w:rsidRDefault="00880159" w:rsidP="00880159">
      <w:pPr>
        <w:numPr>
          <w:ilvl w:val="0"/>
          <w:numId w:val="37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hyperlink r:id="rId27" w:tooltip="Под показаниями прибора учета понимаются все показания и результаты измерений прибора учета электрической энергии, которые используются для целей взаиморасчетов за поставленные электрическую энергию и мощность, а также за связанные с указанными поставками" w:history="1">
        <w:r w:rsidRPr="00880159">
          <w:rPr>
            <w:rFonts w:ascii="Arial" w:eastAsia="Times New Roman" w:hAnsi="Arial" w:cs="Arial"/>
            <w:b/>
            <w:bCs/>
            <w:i/>
            <w:iCs/>
            <w:color w:val="1667A3"/>
            <w:sz w:val="24"/>
            <w:szCs w:val="24"/>
            <w:lang w:eastAsia="ru-RU"/>
          </w:rPr>
          <w:t>показаний приборов учета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, в том числе включенных в состав </w:t>
      </w:r>
      <w:hyperlink r:id="rId28" w:tooltip="Под измерительным комплексом понимается совокупность приборов учета и измерительных трансформаторов, предназначенных для измерения объемов электрической энергии (мощности) в одной точке поставки.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измерительных комплексов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, </w:t>
      </w:r>
      <w:hyperlink r:id="rId29" w:tooltip="Под системой учета понимается совокупность приборов учета,измерительных комплексов, связующих и вычислительных компонентов, устройств сбора и передачи данных, программных средств, предназначенных для измерения,хранения, удаленного сбора и передачи показан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систем учета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 </w:t>
      </w:r>
      <w:hyperlink r:id="rId30" w:tooltip="Под прибором учета, присоединенным к интеллектуальной системе учета электрической энергии (мощности) понимается прибор учета электрической энергии, допущенный в эксплуатацию для целей коммерческого учета электрической энергии на розничных рынках и (или) п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и приборов учета электрической энергии, присоединенных к интеллектуальным системам учета электрической энергии (мощности)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, и интеллектуальных систем учета электрической энергии (мощности) путем суммирования (вычитания) объемов потребления электрической энергии, исходя из направлений </w:t>
      </w:r>
      <w:proofErr w:type="spell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перетоков</w:t>
      </w:r>
      <w:proofErr w:type="spellEnd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электрической энергии по каждой точке поставки в границах балансовой принадлежности энергопринимающих устройств потребителя и мест расположения приборов учета по отношению к соответствующим точкам поставки;</w:t>
      </w:r>
    </w:p>
    <w:p w14:paraId="04D82F77" w14:textId="77777777" w:rsidR="00880159" w:rsidRPr="00880159" w:rsidRDefault="00880159" w:rsidP="00880159">
      <w:pPr>
        <w:numPr>
          <w:ilvl w:val="0"/>
          <w:numId w:val="38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расчетных способов</w:t>
      </w: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(при отсутствии актуальных показаний или непригодности к расчетам приборов учета, измерительных комплексов), которые определяются </w:t>
      </w:r>
      <w:hyperlink r:id="rId31" w:tooltip="Замещающей информацией являю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замещающей информацией 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или иными расчетными способами, предусмотренными приложением N 3 Основных положений функционирования розничных рынков электрической энергии, утвержденных </w:t>
      </w:r>
      <w:hyperlink r:id="rId32" w:tgtFrame="_blank" w:history="1">
        <w:r w:rsidRPr="00880159">
          <w:rPr>
            <w:rFonts w:ascii="Arial" w:eastAsia="Times New Roman" w:hAnsi="Arial" w:cs="Arial"/>
            <w:i/>
            <w:iCs/>
            <w:color w:val="1667A3"/>
            <w:sz w:val="24"/>
            <w:szCs w:val="24"/>
            <w:u w:val="single"/>
            <w:lang w:eastAsia="ru-RU"/>
          </w:rPr>
          <w:t>постановлением Правительства РФ от 04.05.2012 N 442</w:t>
        </w:r>
      </w:hyperlink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</w:t>
      </w:r>
    </w:p>
    <w:p w14:paraId="74A1A9A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прибор учета, расположен не на границе балансовой принадлежности объектов (энергопринимающих устройств) смежных субъектов, объем потребления электрической энергии, определенный на основании показаний такого прибора учета, подлежит корректировке </w:t>
      </w:r>
      <w:hyperlink r:id="rId33" w:tooltip="Расчет величины потерь осуществляется сетевой организацией в соответствии с актом уполномоченного федерального органа, регламентирующим расчет нормативов технологических потерь электрической энергии при ее передаче по электрическим сетям. Сторонами может 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на величину потерь электрической энергии</w:t>
        </w:r>
      </w:hyperlink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возникающих на участке сети от границы балансовой принадлежности объектов (энергопринимающих устройств) до места установки прибора учета.</w:t>
      </w:r>
    </w:p>
    <w:p w14:paraId="78F5E85E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2. Применение расчётные способов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В случае отсутствия прибора учета, неисправности или утраты расчетного прибора учета, в случае непредставления показаний расчетного прибора учета в установленные 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сроки и при отсутствии контрольного прибора учета, определение объема потребления электрической энергии (мощности) и оказанных услуг по передаче электрической энергии осуществляется по </w:t>
      </w: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замещающей информации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CE05EA7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Замещающей информацией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являются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14:paraId="169BF3ED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 </w:t>
      </w: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истечения интервала между поверками измерительного трансформатора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используемого для обеспечения коммерческого учета электрической энергии в составе измерительного комплекса, объем потребления электрической энергии для расчета за потребленную электрическую энергию (мощность) и оказанные услуги по передаче электрической энергии определяется, </w:t>
      </w: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как объем потребления электрической энергии, определенный на основании показаний прибора учета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входящего в соответствующий измерительный комплекс.</w:t>
      </w:r>
    </w:p>
    <w:p w14:paraId="77E99AF8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приобретение, установку, замену и эксплуатацию такого измерительного трансформатора, используемого для обеспечения коммерческого учета электрической энергии в составе измерительного комплекса, </w:t>
      </w: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осуществляет не сетевая организация или гарантирующий поставщик,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то объем потребления (производства) электрической энергии для расчета за потребленную (произведенную) электрическую энергию (мощность) и оказанные услуги по передаче электрической энергии определяется в следующем порядке:</w:t>
      </w:r>
    </w:p>
    <w:p w14:paraId="57EB0E0F" w14:textId="77777777" w:rsidR="00880159" w:rsidRPr="00880159" w:rsidRDefault="00880159" w:rsidP="00880159">
      <w:pPr>
        <w:numPr>
          <w:ilvl w:val="0"/>
          <w:numId w:val="39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для 1-го и последующих часов первого расчетного периода определяется с использованием замещающей информации;</w:t>
      </w:r>
    </w:p>
    <w:p w14:paraId="6F8739ED" w14:textId="77777777" w:rsidR="00880159" w:rsidRPr="00880159" w:rsidRDefault="00880159" w:rsidP="00880159">
      <w:pPr>
        <w:numPr>
          <w:ilvl w:val="0"/>
          <w:numId w:val="39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начиная с 1-го дня второго расчетного периода объем потребления электрической энергии определяется на основании показаний прибора учета, входящего в соответствующий измерительный комплекс, и умножается на коэффициент 1,5, объем произведенной электрической энергии, определяется на основании показаний прибора учета, входящего в соответствующий измерительный комплекс, и умножается на коэффициент 0,5.</w:t>
      </w:r>
    </w:p>
    <w:p w14:paraId="31C62931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 </w:t>
      </w: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двукратного не допуска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расчетному прибору учета, установленному в границах энергопринимающих устройств потребителя, в том числе в отношении точек поставки для лиц, опосредованно присоединенных через объекты такого потребителя электрической энергии, для проведения контрольного снятия показаний и (или) для проведения проверки приборов учета объем потребления и оказанных услуг по передаче электрической энергии с даты 2-го не допуска вплоть до даты допуска к расчетному прибору учета определяется исходя из </w:t>
      </w: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увеличенных в 1,5 раза значений, определенных на основании контрольного прибора учета,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 при его отсутствии - исходя из увеличенных в </w:t>
      </w: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1,5 раза значений, определенных на основании замещающей информации.</w:t>
      </w:r>
    </w:p>
    <w:p w14:paraId="1A270C74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отсутствие приборов учета у потребителей, максимальная мощность энергопринимающих устройств которых, в соответствии с документами о технологическом присоединении, менее 5 кВт, объем потребления электрической энергии определяется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использования.</w:t>
      </w:r>
    </w:p>
    <w:p w14:paraId="671574D6" w14:textId="77777777" w:rsidR="00880159" w:rsidRPr="00880159" w:rsidRDefault="00880159" w:rsidP="00880159">
      <w:pPr>
        <w:shd w:val="clear" w:color="auto" w:fill="FFFFFF"/>
        <w:spacing w:before="0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Снятие и представление показаний:</w:t>
      </w:r>
    </w:p>
    <w:p w14:paraId="3D302682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Лицами, ответственными за снятие показаний расчетного прибора учета, являются:</w:t>
      </w:r>
    </w:p>
    <w:p w14:paraId="7B423139" w14:textId="77777777" w:rsidR="00880159" w:rsidRPr="00880159" w:rsidRDefault="00880159" w:rsidP="00880159">
      <w:pPr>
        <w:numPr>
          <w:ilvl w:val="0"/>
          <w:numId w:val="4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сетевые организации</w:t>
      </w: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- в отношении приборов учета, присоединенных к интеллектуальным системам учета электрической энергии (мощности) соответствующей сетевой организации, а также иных расчетных приборов учета, расположенных в границах объектов электросетевого хозяйства сетевых организаций или в границах бесхозяйных объектов электросетевого хозяйства;</w:t>
      </w:r>
    </w:p>
    <w:p w14:paraId="35675C68" w14:textId="77777777" w:rsidR="00880159" w:rsidRPr="00880159" w:rsidRDefault="00880159" w:rsidP="00880159">
      <w:pPr>
        <w:numPr>
          <w:ilvl w:val="0"/>
          <w:numId w:val="4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гарантирующие поставщики</w:t>
      </w: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- в отношении коллективных (общедомовых) приборов учета, присоединенных к интеллектуальным системам учета электрической энергии (мощности) гарантирующего поставщика;</w:t>
      </w:r>
    </w:p>
    <w:p w14:paraId="5950CFA1" w14:textId="77777777" w:rsidR="00880159" w:rsidRPr="00880159" w:rsidRDefault="00880159" w:rsidP="00880159">
      <w:pPr>
        <w:numPr>
          <w:ilvl w:val="0"/>
          <w:numId w:val="4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потребители (покупатели), собственники (владельцы) объектов электросетевого хозяйства </w:t>
      </w: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отношении расчетных приборов учета, установленных в границах объектов таких лиц и не присоединенных к интеллектуальным системам учета электрической энергии (мощности).</w:t>
      </w:r>
    </w:p>
    <w:p w14:paraId="0C3A4921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Снятие показаний расчетных приборов учета должно осуществляться:</w:t>
      </w:r>
    </w:p>
    <w:p w14:paraId="33143135" w14:textId="77777777" w:rsidR="00880159" w:rsidRPr="00880159" w:rsidRDefault="00880159" w:rsidP="00880159">
      <w:pPr>
        <w:numPr>
          <w:ilvl w:val="0"/>
          <w:numId w:val="4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в отношении расчетных приборов учета, установленных на </w:t>
      </w:r>
      <w:proofErr w:type="spellStart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энергоснабжаемых</w:t>
      </w:r>
      <w:proofErr w:type="spellEnd"/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объектах, электроснабжение которых осуществляется с использованием общего имущества многоквартирного дома, с 23-го до окончания 25-го дня расчетного месяца;</w:t>
      </w:r>
    </w:p>
    <w:p w14:paraId="28B09D44" w14:textId="77777777" w:rsidR="00880159" w:rsidRPr="00880159" w:rsidRDefault="00880159" w:rsidP="00880159">
      <w:pPr>
        <w:numPr>
          <w:ilvl w:val="0"/>
          <w:numId w:val="4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отношении иных приборов учета - по состоянию на 00 часов 00 минут первого дня месяца, следующего за расчетным периодом;</w:t>
      </w:r>
    </w:p>
    <w:p w14:paraId="1A8DF978" w14:textId="77777777" w:rsidR="00880159" w:rsidRPr="00880159" w:rsidRDefault="00880159" w:rsidP="00880159">
      <w:pPr>
        <w:numPr>
          <w:ilvl w:val="0"/>
          <w:numId w:val="4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 расторжении (заключении) договора –на 00 часов 00 минут дня расторжения (заключения) договора.</w:t>
      </w:r>
    </w:p>
    <w:p w14:paraId="53A83A2C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Снятие показаний расчетного прибора учета, не присоединенного к интеллектуальной системе учета электрической энергии (мощности), оформляется актом снятия показаний расчетного прибора учета и подписывается лицом, ответственным за снятие показаний прибора учета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также представителями сетевой организации и (или) гарантирующего поставщика (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энергосбытовой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энергоснабжающей</w:t>
      </w:r>
      <w:proofErr w:type="spellEnd"/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организации) в случае, если в соответствии с условиями договора ими осуществляется совместное снятие показаний расчетного прибора учета.</w:t>
      </w:r>
    </w:p>
    <w:p w14:paraId="77CC920F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Лицо, ответственное за снятие показаний прибора учета, обеспечивает представление показаний расчетного прибора учета гарантирующему поставщику, 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следующем порядке (если иное не установлено договором):</w:t>
      </w:r>
    </w:p>
    <w:p w14:paraId="7E0C2EC0" w14:textId="77777777" w:rsidR="00880159" w:rsidRPr="00880159" w:rsidRDefault="00880159" w:rsidP="00880159">
      <w:pPr>
        <w:numPr>
          <w:ilvl w:val="0"/>
          <w:numId w:val="4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отношении приборов учета, установленных в отношении жилых домов - до окончания 26-го дня расчетного месяца;</w:t>
      </w:r>
    </w:p>
    <w:p w14:paraId="346A6BC5" w14:textId="77777777" w:rsidR="00880159" w:rsidRPr="00880159" w:rsidRDefault="00880159" w:rsidP="00880159">
      <w:pPr>
        <w:numPr>
          <w:ilvl w:val="0"/>
          <w:numId w:val="4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отношении иных приборов учета - до окончания первого дня месяца, следующего за расчетным периодом;</w:t>
      </w:r>
    </w:p>
    <w:p w14:paraId="71B52D52" w14:textId="77777777" w:rsidR="00880159" w:rsidRPr="00880159" w:rsidRDefault="00880159" w:rsidP="00880159">
      <w:pPr>
        <w:numPr>
          <w:ilvl w:val="0"/>
          <w:numId w:val="42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отношении расчетных приборов учета, не присоединенных к интеллектуальным системам учета электрической энергии (мощности), показания представляются в течение последующих 3 рабочих дней с использованием телефонной связи, электронной почты или иным способом, позволяющим подтвердить факт их получения, указанным в договоре, а также при необходимости в письменной форме или в виде электронного документа, подписанного электронной подписью, акта снятия показаний расчетных приборов учета.</w:t>
      </w:r>
    </w:p>
    <w:p w14:paraId="4E988AF0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отношении расчетных приборов учета, присоединенных </w:t>
      </w:r>
      <w:r w:rsidRPr="0088015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 интеллектуальным системам учета</w:t>
      </w: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электрической энергии (мощности), показания представляются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функций интеллектуальных систем учета электрической энергии (мощности).</w:t>
      </w:r>
    </w:p>
    <w:p w14:paraId="4D17059C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непредставления, в установленные сроки, показаний расчетного прибора учета, при наличии в договоре контрольного прибора учета, </w:t>
      </w:r>
      <w:hyperlink r:id="rId34" w:tooltip="Показания контрольного прибора учета используются при определении объема потребления электрической энергии (мощности) за расчетный период в отношении потребителя, осуществляющего расчеты за электрическую энергию (мощность) с применением цены (тарифа), диф" w:history="1">
        <w:r w:rsidRPr="00880159">
          <w:rPr>
            <w:rFonts w:ascii="Arial" w:eastAsia="Times New Roman" w:hAnsi="Arial" w:cs="Arial"/>
            <w:color w:val="1667A3"/>
            <w:sz w:val="24"/>
            <w:szCs w:val="24"/>
            <w:u w:val="single"/>
            <w:lang w:eastAsia="ru-RU"/>
          </w:rPr>
          <w:t>используются показания контрольного прибора учета.</w:t>
        </w:r>
      </w:hyperlink>
    </w:p>
    <w:p w14:paraId="073F0525" w14:textId="77777777" w:rsidR="00880159" w:rsidRPr="00880159" w:rsidRDefault="00880159" w:rsidP="00880159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801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Показания контрольного прибора снимает лицо, ответственное за снятие показаний прибора учета, в указанные выше сроки. Показания контрольного прибора учета передаются, в течение 2 рабочих дней со дня получения такого запроса, если иной срок их передачи не установлен соответствующим договором.</w:t>
      </w:r>
    </w:p>
    <w:p w14:paraId="17B51D42" w14:textId="77777777" w:rsidR="00880159" w:rsidRPr="00880159" w:rsidRDefault="00880159" w:rsidP="00880159">
      <w:pPr>
        <w:spacing w:before="0" w:after="160" w:line="259" w:lineRule="auto"/>
        <w:rPr>
          <w:rFonts w:ascii="Arial" w:eastAsia="Calibri" w:hAnsi="Arial" w:cs="Arial"/>
          <w:sz w:val="24"/>
          <w:szCs w:val="24"/>
        </w:rPr>
      </w:pPr>
    </w:p>
    <w:p w14:paraId="673F7169" w14:textId="77777777" w:rsidR="0070167A" w:rsidRPr="00880159" w:rsidRDefault="0070167A" w:rsidP="0070167A">
      <w:pPr>
        <w:autoSpaceDE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167A" w:rsidRPr="00880159" w:rsidSect="00484747">
      <w:headerReference w:type="default" r:id="rId35"/>
      <w:headerReference w:type="first" r:id="rId36"/>
      <w:pgSz w:w="11906" w:h="16838"/>
      <w:pgMar w:top="483" w:right="567" w:bottom="567" w:left="141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E092" w14:textId="77777777" w:rsidR="00201691" w:rsidRDefault="00201691" w:rsidP="003623C7">
      <w:pPr>
        <w:spacing w:before="0" w:after="0" w:line="240" w:lineRule="auto"/>
      </w:pPr>
      <w:r>
        <w:separator/>
      </w:r>
    </w:p>
  </w:endnote>
  <w:endnote w:type="continuationSeparator" w:id="0">
    <w:p w14:paraId="303D0D00" w14:textId="77777777" w:rsidR="00201691" w:rsidRDefault="00201691" w:rsidP="003623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048A2" w14:textId="77777777" w:rsidR="00201691" w:rsidRDefault="00201691" w:rsidP="003623C7">
      <w:pPr>
        <w:spacing w:before="0" w:after="0" w:line="240" w:lineRule="auto"/>
      </w:pPr>
      <w:r>
        <w:separator/>
      </w:r>
    </w:p>
  </w:footnote>
  <w:footnote w:type="continuationSeparator" w:id="0">
    <w:p w14:paraId="20580BFC" w14:textId="77777777" w:rsidR="00201691" w:rsidRDefault="00201691" w:rsidP="003623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4B65" w14:textId="77777777" w:rsidR="00B01628" w:rsidRDefault="00B01628" w:rsidP="00B01628">
    <w:pPr>
      <w:pStyle w:val="af4"/>
      <w:tabs>
        <w:tab w:val="clear" w:pos="4677"/>
        <w:tab w:val="clear" w:pos="9355"/>
        <w:tab w:val="left" w:pos="1740"/>
      </w:tabs>
    </w:pPr>
    <w:r>
      <w:tab/>
    </w:r>
  </w:p>
  <w:p w14:paraId="09189732" w14:textId="20F07E41" w:rsidR="00B01628" w:rsidRDefault="00B01628" w:rsidP="00B01628">
    <w:pPr>
      <w:pStyle w:val="af4"/>
      <w:tabs>
        <w:tab w:val="clear" w:pos="4677"/>
        <w:tab w:val="clear" w:pos="9355"/>
        <w:tab w:val="left" w:pos="17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349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5387"/>
    </w:tblGrid>
    <w:tr w:rsidR="001F6DCF" w14:paraId="42EC5988" w14:textId="77777777" w:rsidTr="00484747">
      <w:trPr>
        <w:trHeight w:val="1557"/>
      </w:trPr>
      <w:tc>
        <w:tcPr>
          <w:tcW w:w="10349" w:type="dxa"/>
          <w:gridSpan w:val="2"/>
        </w:tcPr>
        <w:p w14:paraId="253153F1" w14:textId="77777777" w:rsidR="001F6DCF" w:rsidRPr="00D549FB" w:rsidRDefault="001F6DCF" w:rsidP="00BB17FE">
          <w:pPr>
            <w:jc w:val="right"/>
            <w:rPr>
              <w:rFonts w:ascii="Arial" w:hAnsi="Arial" w:cs="Arial"/>
              <w:b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61ADD508" wp14:editId="1AFA02D3">
                <wp:simplePos x="0" y="0"/>
                <wp:positionH relativeFrom="column">
                  <wp:posOffset>109643</wp:posOffset>
                </wp:positionH>
                <wp:positionV relativeFrom="paragraph">
                  <wp:posOffset>-70696</wp:posOffset>
                </wp:positionV>
                <wp:extent cx="803562" cy="1056459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562" cy="1056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549FB">
            <w:rPr>
              <w:rFonts w:ascii="Arial" w:hAnsi="Arial" w:cs="Arial"/>
              <w:b/>
              <w:i/>
              <w:sz w:val="28"/>
              <w:szCs w:val="28"/>
            </w:rPr>
            <w:t>Общество с ограниченной ответственностью</w:t>
          </w:r>
        </w:p>
        <w:p w14:paraId="706E0B35" w14:textId="77777777" w:rsidR="001F6DCF" w:rsidRPr="00D549FB" w:rsidRDefault="001F6DCF" w:rsidP="00BB17FE">
          <w:pPr>
            <w:jc w:val="right"/>
            <w:rPr>
              <w:rFonts w:ascii="Arial" w:hAnsi="Arial" w:cs="Arial"/>
              <w:b/>
              <w:i/>
              <w:sz w:val="28"/>
              <w:szCs w:val="28"/>
            </w:rPr>
          </w:pPr>
          <w:r w:rsidRPr="00D549FB">
            <w:rPr>
              <w:rFonts w:ascii="Arial" w:hAnsi="Arial" w:cs="Arial"/>
              <w:b/>
              <w:i/>
              <w:sz w:val="28"/>
              <w:szCs w:val="28"/>
            </w:rPr>
            <w:t xml:space="preserve">«ТЕПЛОЭНЕРГЕТИЧЕСКАЯ КОМПАНИЯ </w:t>
          </w:r>
          <w:r>
            <w:rPr>
              <w:rFonts w:ascii="Arial" w:hAnsi="Arial" w:cs="Arial"/>
              <w:b/>
              <w:i/>
              <w:sz w:val="28"/>
              <w:szCs w:val="28"/>
            </w:rPr>
            <w:t>«</w:t>
          </w:r>
          <w:r w:rsidRPr="00D549FB">
            <w:rPr>
              <w:rFonts w:ascii="Arial" w:hAnsi="Arial" w:cs="Arial"/>
              <w:b/>
              <w:i/>
              <w:sz w:val="28"/>
              <w:szCs w:val="28"/>
            </w:rPr>
            <w:t>УССУРИ»</w:t>
          </w:r>
        </w:p>
        <w:p w14:paraId="48B0D51B" w14:textId="77777777" w:rsidR="001F6DCF" w:rsidRDefault="001F6DCF" w:rsidP="001F6DCF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1F6DCF" w:rsidRPr="005069F9" w14:paraId="40C1B0F1" w14:textId="77777777" w:rsidTr="00BB17FE">
      <w:trPr>
        <w:trHeight w:val="845"/>
      </w:trPr>
      <w:tc>
        <w:tcPr>
          <w:tcW w:w="4962" w:type="dxa"/>
        </w:tcPr>
        <w:p w14:paraId="00337F64" w14:textId="77777777" w:rsidR="001F6DCF" w:rsidRPr="0074756D" w:rsidRDefault="001F6DCF" w:rsidP="00AC68C5">
          <w:pPr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74756D">
            <w:rPr>
              <w:rFonts w:ascii="Times New Roman" w:hAnsi="Times New Roman" w:cs="Times New Roman"/>
              <w:sz w:val="16"/>
              <w:szCs w:val="16"/>
            </w:rPr>
            <w:t xml:space="preserve">682910, Хабаровский край, район имени Лазо, </w:t>
          </w:r>
        </w:p>
        <w:p w14:paraId="52AACFA8" w14:textId="77777777" w:rsidR="001F6DCF" w:rsidRPr="0074756D" w:rsidRDefault="001F6DCF" w:rsidP="00AC68C5">
          <w:pPr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74756D">
            <w:rPr>
              <w:rFonts w:ascii="Times New Roman" w:hAnsi="Times New Roman" w:cs="Times New Roman"/>
              <w:sz w:val="16"/>
              <w:szCs w:val="16"/>
            </w:rPr>
            <w:t>р.п. Переяславка, ул. Индустриальная, 19а</w:t>
          </w:r>
        </w:p>
        <w:p w14:paraId="7DED3FF0" w14:textId="3D86116E" w:rsidR="001F6DCF" w:rsidRPr="0074756D" w:rsidRDefault="001F6DCF" w:rsidP="00AC68C5">
          <w:pPr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74756D">
            <w:rPr>
              <w:rFonts w:ascii="Times New Roman" w:hAnsi="Times New Roman" w:cs="Times New Roman"/>
              <w:sz w:val="16"/>
              <w:szCs w:val="16"/>
            </w:rPr>
            <w:t>тел. 8</w:t>
          </w:r>
          <w:r w:rsidR="00484747" w:rsidRPr="0074756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74756D">
            <w:rPr>
              <w:rFonts w:ascii="Times New Roman" w:hAnsi="Times New Roman" w:cs="Times New Roman"/>
              <w:sz w:val="16"/>
              <w:szCs w:val="16"/>
            </w:rPr>
            <w:t>(</w:t>
          </w:r>
          <w:r w:rsidR="00CE76E0">
            <w:rPr>
              <w:rFonts w:ascii="Times New Roman" w:hAnsi="Times New Roman" w:cs="Times New Roman"/>
              <w:sz w:val="16"/>
              <w:szCs w:val="16"/>
            </w:rPr>
            <w:t>800)200-18-67</w:t>
          </w:r>
        </w:p>
        <w:p w14:paraId="11BAD599" w14:textId="519595A3" w:rsidR="001F6DCF" w:rsidRPr="0074756D" w:rsidRDefault="00201691" w:rsidP="00AC68C5">
          <w:pPr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hyperlink r:id="rId2" w:history="1">
            <w:r w:rsidR="001F6DCF" w:rsidRPr="0074756D">
              <w:rPr>
                <w:rStyle w:val="af8"/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office</w:t>
            </w:r>
            <w:r w:rsidR="001F6DCF" w:rsidRPr="0074756D">
              <w:rPr>
                <w:rStyle w:val="af8"/>
                <w:rFonts w:ascii="Times New Roman" w:hAnsi="Times New Roman" w:cs="Times New Roman"/>
                <w:color w:val="auto"/>
                <w:sz w:val="16"/>
                <w:szCs w:val="16"/>
              </w:rPr>
              <w:t>@</w:t>
            </w:r>
            <w:proofErr w:type="spellStart"/>
            <w:r w:rsidR="001F6DCF" w:rsidRPr="0074756D">
              <w:rPr>
                <w:rStyle w:val="af8"/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tek</w:t>
            </w:r>
            <w:proofErr w:type="spellEnd"/>
            <w:r w:rsidR="001F6DCF" w:rsidRPr="0074756D">
              <w:rPr>
                <w:rStyle w:val="af8"/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="001F6DCF" w:rsidRPr="0074756D">
              <w:rPr>
                <w:rStyle w:val="af8"/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ussury</w:t>
            </w:r>
            <w:proofErr w:type="spellEnd"/>
            <w:r w:rsidR="001F6DCF" w:rsidRPr="0074756D">
              <w:rPr>
                <w:rStyle w:val="af8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="001F6DCF" w:rsidRPr="0074756D">
              <w:rPr>
                <w:rStyle w:val="af8"/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</w:hyperlink>
        </w:p>
      </w:tc>
      <w:tc>
        <w:tcPr>
          <w:tcW w:w="5387" w:type="dxa"/>
        </w:tcPr>
        <w:p w14:paraId="47A1085A" w14:textId="77777777" w:rsidR="001F6DCF" w:rsidRPr="0074756D" w:rsidRDefault="001F6DCF" w:rsidP="00484747">
          <w:pPr>
            <w:spacing w:befor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74756D">
            <w:rPr>
              <w:rFonts w:ascii="Times New Roman" w:hAnsi="Times New Roman" w:cs="Times New Roman"/>
              <w:b/>
              <w:sz w:val="16"/>
              <w:szCs w:val="16"/>
            </w:rPr>
            <w:t>ООО «ТЭК «УССУРИ»</w:t>
          </w:r>
        </w:p>
        <w:p w14:paraId="07CA4043" w14:textId="77777777" w:rsidR="001F6DCF" w:rsidRPr="0074756D" w:rsidRDefault="001F6DCF" w:rsidP="00484747">
          <w:pPr>
            <w:spacing w:befor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74756D">
            <w:rPr>
              <w:rFonts w:ascii="Times New Roman" w:hAnsi="Times New Roman" w:cs="Times New Roman"/>
              <w:sz w:val="16"/>
              <w:szCs w:val="16"/>
            </w:rPr>
            <w:t>ИНН/КПП 2713020074/271301001</w:t>
          </w:r>
        </w:p>
        <w:p w14:paraId="3F5A817B" w14:textId="77777777" w:rsidR="00484747" w:rsidRPr="0074756D" w:rsidRDefault="001F6DCF" w:rsidP="00484747">
          <w:pPr>
            <w:spacing w:before="0"/>
            <w:jc w:val="right"/>
            <w:rPr>
              <w:rFonts w:ascii="Times New Roman" w:hAnsi="Times New Roman" w:cs="Times New Roman"/>
              <w:sz w:val="14"/>
              <w:szCs w:val="28"/>
            </w:rPr>
          </w:pPr>
          <w:r w:rsidRPr="0074756D">
            <w:rPr>
              <w:rFonts w:ascii="Times New Roman" w:hAnsi="Times New Roman" w:cs="Times New Roman"/>
              <w:sz w:val="16"/>
              <w:szCs w:val="16"/>
            </w:rPr>
            <w:t xml:space="preserve">р/с </w:t>
          </w:r>
          <w:r w:rsidR="00484747" w:rsidRPr="0074756D">
            <w:rPr>
              <w:rStyle w:val="fontstyle01"/>
              <w:color w:val="auto"/>
              <w:sz w:val="16"/>
              <w:szCs w:val="28"/>
            </w:rPr>
            <w:t>40702810900340001106</w:t>
          </w:r>
        </w:p>
        <w:p w14:paraId="72E2C6CB" w14:textId="4F503770" w:rsidR="00484747" w:rsidRPr="0074756D" w:rsidRDefault="001F6DCF" w:rsidP="00484747">
          <w:pPr>
            <w:spacing w:before="0"/>
            <w:jc w:val="right"/>
            <w:rPr>
              <w:rFonts w:ascii="Times New Roman" w:hAnsi="Times New Roman" w:cs="Times New Roman"/>
              <w:sz w:val="16"/>
              <w:szCs w:val="28"/>
            </w:rPr>
          </w:pPr>
          <w:r w:rsidRPr="0074756D">
            <w:rPr>
              <w:rFonts w:ascii="Times New Roman" w:hAnsi="Times New Roman" w:cs="Times New Roman"/>
              <w:sz w:val="16"/>
              <w:szCs w:val="16"/>
            </w:rPr>
            <w:t xml:space="preserve">БИК 040507705 </w:t>
          </w:r>
          <w:r w:rsidR="00484747" w:rsidRPr="0074756D">
            <w:rPr>
              <w:rStyle w:val="fontstyle01"/>
              <w:color w:val="auto"/>
              <w:szCs w:val="28"/>
            </w:rPr>
            <w:t>АО «Дальневосточный банк» г. Владивосток</w:t>
          </w:r>
        </w:p>
        <w:p w14:paraId="01554EEE" w14:textId="0B8E731D" w:rsidR="001F6DCF" w:rsidRPr="0074756D" w:rsidRDefault="001F6DCF" w:rsidP="00AC68C5">
          <w:pPr>
            <w:spacing w:before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2264AA37" w14:textId="77777777" w:rsidR="001F6DCF" w:rsidRDefault="001F6DC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940"/>
    <w:multiLevelType w:val="hybridMultilevel"/>
    <w:tmpl w:val="82F0D84C"/>
    <w:lvl w:ilvl="0" w:tplc="F8708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10389E"/>
    <w:multiLevelType w:val="multilevel"/>
    <w:tmpl w:val="861E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F40B5"/>
    <w:multiLevelType w:val="hybridMultilevel"/>
    <w:tmpl w:val="B950BA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067199"/>
    <w:multiLevelType w:val="multilevel"/>
    <w:tmpl w:val="AE1E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A0DDA"/>
    <w:multiLevelType w:val="multilevel"/>
    <w:tmpl w:val="39CE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81682"/>
    <w:multiLevelType w:val="hybridMultilevel"/>
    <w:tmpl w:val="B07030EA"/>
    <w:lvl w:ilvl="0" w:tplc="0A8E3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E76977"/>
    <w:multiLevelType w:val="multilevel"/>
    <w:tmpl w:val="771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944C26"/>
    <w:multiLevelType w:val="hybridMultilevel"/>
    <w:tmpl w:val="AADE894E"/>
    <w:lvl w:ilvl="0" w:tplc="09626A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83F19"/>
    <w:multiLevelType w:val="multilevel"/>
    <w:tmpl w:val="D2C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A522E"/>
    <w:multiLevelType w:val="hybridMultilevel"/>
    <w:tmpl w:val="437E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3375"/>
    <w:multiLevelType w:val="multilevel"/>
    <w:tmpl w:val="B5F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300382"/>
    <w:multiLevelType w:val="multilevel"/>
    <w:tmpl w:val="7A78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CA0CF9"/>
    <w:multiLevelType w:val="hybridMultilevel"/>
    <w:tmpl w:val="0874A810"/>
    <w:lvl w:ilvl="0" w:tplc="CC20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5715D4"/>
    <w:multiLevelType w:val="hybridMultilevel"/>
    <w:tmpl w:val="AFB8AE86"/>
    <w:lvl w:ilvl="0" w:tplc="215E5DBE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674A3F"/>
    <w:multiLevelType w:val="multilevel"/>
    <w:tmpl w:val="1780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4A2A60"/>
    <w:multiLevelType w:val="multilevel"/>
    <w:tmpl w:val="B640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079C5"/>
    <w:multiLevelType w:val="hybridMultilevel"/>
    <w:tmpl w:val="67523CBC"/>
    <w:lvl w:ilvl="0" w:tplc="0EDEB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BF06325"/>
    <w:multiLevelType w:val="multilevel"/>
    <w:tmpl w:val="91E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565D6"/>
    <w:multiLevelType w:val="hybridMultilevel"/>
    <w:tmpl w:val="82F0D84C"/>
    <w:lvl w:ilvl="0" w:tplc="F8708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426053"/>
    <w:multiLevelType w:val="hybridMultilevel"/>
    <w:tmpl w:val="3F6EB892"/>
    <w:lvl w:ilvl="0" w:tplc="F8708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B471C0"/>
    <w:multiLevelType w:val="multilevel"/>
    <w:tmpl w:val="269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252553"/>
    <w:multiLevelType w:val="multilevel"/>
    <w:tmpl w:val="22C8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C625DA"/>
    <w:multiLevelType w:val="hybridMultilevel"/>
    <w:tmpl w:val="52923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D3200"/>
    <w:multiLevelType w:val="multilevel"/>
    <w:tmpl w:val="E60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3738DE"/>
    <w:multiLevelType w:val="multilevel"/>
    <w:tmpl w:val="9B1E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044069"/>
    <w:multiLevelType w:val="multilevel"/>
    <w:tmpl w:val="6162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06492E"/>
    <w:multiLevelType w:val="hybridMultilevel"/>
    <w:tmpl w:val="CE98419E"/>
    <w:lvl w:ilvl="0" w:tplc="0EDEB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22A0A6D"/>
    <w:multiLevelType w:val="multilevel"/>
    <w:tmpl w:val="6A9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CB459D"/>
    <w:multiLevelType w:val="multilevel"/>
    <w:tmpl w:val="B62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F033DA"/>
    <w:multiLevelType w:val="multilevel"/>
    <w:tmpl w:val="E9F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5527E8"/>
    <w:multiLevelType w:val="hybridMultilevel"/>
    <w:tmpl w:val="17D0EDEC"/>
    <w:lvl w:ilvl="0" w:tplc="6EE61104">
      <w:start w:val="2"/>
      <w:numFmt w:val="bullet"/>
      <w:lvlText w:val=""/>
      <w:lvlJc w:val="left"/>
      <w:pPr>
        <w:ind w:left="64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52554645"/>
    <w:multiLevelType w:val="multilevel"/>
    <w:tmpl w:val="F894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BA6C1D"/>
    <w:multiLevelType w:val="multilevel"/>
    <w:tmpl w:val="BEE4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80773A"/>
    <w:multiLevelType w:val="hybridMultilevel"/>
    <w:tmpl w:val="FB5CC400"/>
    <w:lvl w:ilvl="0" w:tplc="7FE62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D26402"/>
    <w:multiLevelType w:val="multilevel"/>
    <w:tmpl w:val="EC86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4104A9"/>
    <w:multiLevelType w:val="multilevel"/>
    <w:tmpl w:val="D944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581030"/>
    <w:multiLevelType w:val="hybridMultilevel"/>
    <w:tmpl w:val="12F8F2E6"/>
    <w:lvl w:ilvl="0" w:tplc="B342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556B20"/>
    <w:multiLevelType w:val="multilevel"/>
    <w:tmpl w:val="10F0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900DE3"/>
    <w:multiLevelType w:val="hybridMultilevel"/>
    <w:tmpl w:val="2B6AEE46"/>
    <w:lvl w:ilvl="0" w:tplc="931AE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2E3679"/>
    <w:multiLevelType w:val="hybridMultilevel"/>
    <w:tmpl w:val="F2EAC47A"/>
    <w:lvl w:ilvl="0" w:tplc="880E0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203C65"/>
    <w:multiLevelType w:val="multilevel"/>
    <w:tmpl w:val="3A8A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995298"/>
    <w:multiLevelType w:val="multilevel"/>
    <w:tmpl w:val="D5A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33"/>
  </w:num>
  <w:num w:numId="5">
    <w:abstractNumId w:val="22"/>
  </w:num>
  <w:num w:numId="6">
    <w:abstractNumId w:val="2"/>
  </w:num>
  <w:num w:numId="7">
    <w:abstractNumId w:val="36"/>
  </w:num>
  <w:num w:numId="8">
    <w:abstractNumId w:val="13"/>
  </w:num>
  <w:num w:numId="9">
    <w:abstractNumId w:val="38"/>
  </w:num>
  <w:num w:numId="10">
    <w:abstractNumId w:val="7"/>
  </w:num>
  <w:num w:numId="11">
    <w:abstractNumId w:val="9"/>
  </w:num>
  <w:num w:numId="12">
    <w:abstractNumId w:val="30"/>
  </w:num>
  <w:num w:numId="13">
    <w:abstractNumId w:val="12"/>
  </w:num>
  <w:num w:numId="14">
    <w:abstractNumId w:val="16"/>
  </w:num>
  <w:num w:numId="15">
    <w:abstractNumId w:val="26"/>
  </w:num>
  <w:num w:numId="16">
    <w:abstractNumId w:val="39"/>
  </w:num>
  <w:num w:numId="17">
    <w:abstractNumId w:val="5"/>
  </w:num>
  <w:num w:numId="18">
    <w:abstractNumId w:val="23"/>
  </w:num>
  <w:num w:numId="19">
    <w:abstractNumId w:val="21"/>
  </w:num>
  <w:num w:numId="20">
    <w:abstractNumId w:val="3"/>
  </w:num>
  <w:num w:numId="21">
    <w:abstractNumId w:val="34"/>
  </w:num>
  <w:num w:numId="22">
    <w:abstractNumId w:val="41"/>
  </w:num>
  <w:num w:numId="23">
    <w:abstractNumId w:val="10"/>
  </w:num>
  <w:num w:numId="24">
    <w:abstractNumId w:val="29"/>
  </w:num>
  <w:num w:numId="25">
    <w:abstractNumId w:val="27"/>
  </w:num>
  <w:num w:numId="26">
    <w:abstractNumId w:val="11"/>
  </w:num>
  <w:num w:numId="27">
    <w:abstractNumId w:val="32"/>
  </w:num>
  <w:num w:numId="28">
    <w:abstractNumId w:val="31"/>
  </w:num>
  <w:num w:numId="29">
    <w:abstractNumId w:val="4"/>
  </w:num>
  <w:num w:numId="30">
    <w:abstractNumId w:val="1"/>
  </w:num>
  <w:num w:numId="31">
    <w:abstractNumId w:val="28"/>
  </w:num>
  <w:num w:numId="32">
    <w:abstractNumId w:val="15"/>
  </w:num>
  <w:num w:numId="33">
    <w:abstractNumId w:val="8"/>
  </w:num>
  <w:num w:numId="34">
    <w:abstractNumId w:val="37"/>
  </w:num>
  <w:num w:numId="35">
    <w:abstractNumId w:val="17"/>
  </w:num>
  <w:num w:numId="36">
    <w:abstractNumId w:val="24"/>
  </w:num>
  <w:num w:numId="37">
    <w:abstractNumId w:val="14"/>
  </w:num>
  <w:num w:numId="38">
    <w:abstractNumId w:val="40"/>
  </w:num>
  <w:num w:numId="39">
    <w:abstractNumId w:val="20"/>
  </w:num>
  <w:num w:numId="40">
    <w:abstractNumId w:val="35"/>
  </w:num>
  <w:num w:numId="41">
    <w:abstractNumId w:val="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D2"/>
    <w:rsid w:val="00001C95"/>
    <w:rsid w:val="00003270"/>
    <w:rsid w:val="00006F61"/>
    <w:rsid w:val="000111C9"/>
    <w:rsid w:val="0003247A"/>
    <w:rsid w:val="0003526E"/>
    <w:rsid w:val="000361D5"/>
    <w:rsid w:val="00040BD8"/>
    <w:rsid w:val="00043A66"/>
    <w:rsid w:val="00044BB9"/>
    <w:rsid w:val="0005263F"/>
    <w:rsid w:val="000529F3"/>
    <w:rsid w:val="00052B5D"/>
    <w:rsid w:val="00052D97"/>
    <w:rsid w:val="00055F18"/>
    <w:rsid w:val="00056D05"/>
    <w:rsid w:val="0006186A"/>
    <w:rsid w:val="00064747"/>
    <w:rsid w:val="00066499"/>
    <w:rsid w:val="00092CE9"/>
    <w:rsid w:val="000945FE"/>
    <w:rsid w:val="0009541B"/>
    <w:rsid w:val="000A3486"/>
    <w:rsid w:val="000A5B07"/>
    <w:rsid w:val="000B4C39"/>
    <w:rsid w:val="000C5DE9"/>
    <w:rsid w:val="000D2523"/>
    <w:rsid w:val="000E003D"/>
    <w:rsid w:val="000E7B4C"/>
    <w:rsid w:val="000F2A95"/>
    <w:rsid w:val="000F6E7E"/>
    <w:rsid w:val="000F7F54"/>
    <w:rsid w:val="00103D2E"/>
    <w:rsid w:val="00107A35"/>
    <w:rsid w:val="0011754A"/>
    <w:rsid w:val="00121BC9"/>
    <w:rsid w:val="00122D85"/>
    <w:rsid w:val="00123870"/>
    <w:rsid w:val="0012417F"/>
    <w:rsid w:val="00126ABB"/>
    <w:rsid w:val="0013587A"/>
    <w:rsid w:val="001415AC"/>
    <w:rsid w:val="0014384C"/>
    <w:rsid w:val="00146DE7"/>
    <w:rsid w:val="00155E4E"/>
    <w:rsid w:val="00163758"/>
    <w:rsid w:val="00167B99"/>
    <w:rsid w:val="0017598C"/>
    <w:rsid w:val="00177B9F"/>
    <w:rsid w:val="001907F3"/>
    <w:rsid w:val="00191B4A"/>
    <w:rsid w:val="0019317E"/>
    <w:rsid w:val="001958BA"/>
    <w:rsid w:val="0019613C"/>
    <w:rsid w:val="001A07B3"/>
    <w:rsid w:val="001B1130"/>
    <w:rsid w:val="001C2CA4"/>
    <w:rsid w:val="001C3200"/>
    <w:rsid w:val="001C47B6"/>
    <w:rsid w:val="001D0170"/>
    <w:rsid w:val="001D669B"/>
    <w:rsid w:val="001D7BBF"/>
    <w:rsid w:val="001E3917"/>
    <w:rsid w:val="001E690C"/>
    <w:rsid w:val="001E79DE"/>
    <w:rsid w:val="001F6DCF"/>
    <w:rsid w:val="00201691"/>
    <w:rsid w:val="0020711E"/>
    <w:rsid w:val="00210906"/>
    <w:rsid w:val="00212ACB"/>
    <w:rsid w:val="00225FCE"/>
    <w:rsid w:val="00226860"/>
    <w:rsid w:val="00241D8F"/>
    <w:rsid w:val="0024565B"/>
    <w:rsid w:val="00250E57"/>
    <w:rsid w:val="002640A3"/>
    <w:rsid w:val="00266A5B"/>
    <w:rsid w:val="00274609"/>
    <w:rsid w:val="0029614B"/>
    <w:rsid w:val="002A1BB3"/>
    <w:rsid w:val="002A7DE8"/>
    <w:rsid w:val="002B7B1B"/>
    <w:rsid w:val="002C6011"/>
    <w:rsid w:val="002C6596"/>
    <w:rsid w:val="002D0125"/>
    <w:rsid w:val="002D21D5"/>
    <w:rsid w:val="002D45ED"/>
    <w:rsid w:val="002E2D34"/>
    <w:rsid w:val="002E672D"/>
    <w:rsid w:val="002F17B6"/>
    <w:rsid w:val="002F3380"/>
    <w:rsid w:val="002F438F"/>
    <w:rsid w:val="003146A3"/>
    <w:rsid w:val="00314854"/>
    <w:rsid w:val="003171A6"/>
    <w:rsid w:val="00332FA5"/>
    <w:rsid w:val="0034599E"/>
    <w:rsid w:val="00346CFA"/>
    <w:rsid w:val="0035190F"/>
    <w:rsid w:val="0035309E"/>
    <w:rsid w:val="003606A5"/>
    <w:rsid w:val="003623C7"/>
    <w:rsid w:val="00366153"/>
    <w:rsid w:val="00367D26"/>
    <w:rsid w:val="00373D19"/>
    <w:rsid w:val="00374C17"/>
    <w:rsid w:val="003849AF"/>
    <w:rsid w:val="00390751"/>
    <w:rsid w:val="003A0B08"/>
    <w:rsid w:val="003A2BB5"/>
    <w:rsid w:val="003B3E7F"/>
    <w:rsid w:val="003C4D5C"/>
    <w:rsid w:val="003E329B"/>
    <w:rsid w:val="003F3FE5"/>
    <w:rsid w:val="0040312E"/>
    <w:rsid w:val="004138DC"/>
    <w:rsid w:val="004251A0"/>
    <w:rsid w:val="004350C8"/>
    <w:rsid w:val="004402F2"/>
    <w:rsid w:val="00453A41"/>
    <w:rsid w:val="00475A80"/>
    <w:rsid w:val="004805A9"/>
    <w:rsid w:val="00482B78"/>
    <w:rsid w:val="00484747"/>
    <w:rsid w:val="004853D6"/>
    <w:rsid w:val="00494F19"/>
    <w:rsid w:val="004961CE"/>
    <w:rsid w:val="004B7715"/>
    <w:rsid w:val="004D2792"/>
    <w:rsid w:val="004D6D35"/>
    <w:rsid w:val="004F0694"/>
    <w:rsid w:val="00500F67"/>
    <w:rsid w:val="00502E7E"/>
    <w:rsid w:val="005069F9"/>
    <w:rsid w:val="00511766"/>
    <w:rsid w:val="005139E1"/>
    <w:rsid w:val="00515B25"/>
    <w:rsid w:val="005330E3"/>
    <w:rsid w:val="005374FB"/>
    <w:rsid w:val="00542F9A"/>
    <w:rsid w:val="0054638B"/>
    <w:rsid w:val="00553163"/>
    <w:rsid w:val="00556ABD"/>
    <w:rsid w:val="00560FA6"/>
    <w:rsid w:val="00561F9B"/>
    <w:rsid w:val="00563281"/>
    <w:rsid w:val="005646CF"/>
    <w:rsid w:val="00564796"/>
    <w:rsid w:val="00567F05"/>
    <w:rsid w:val="005B0159"/>
    <w:rsid w:val="005B4F61"/>
    <w:rsid w:val="005B7212"/>
    <w:rsid w:val="005D5A5E"/>
    <w:rsid w:val="005E0BCF"/>
    <w:rsid w:val="005E2620"/>
    <w:rsid w:val="005E7EE1"/>
    <w:rsid w:val="005F0DC4"/>
    <w:rsid w:val="005F2923"/>
    <w:rsid w:val="005F44EB"/>
    <w:rsid w:val="00615022"/>
    <w:rsid w:val="00615CEB"/>
    <w:rsid w:val="006170A3"/>
    <w:rsid w:val="00630E8F"/>
    <w:rsid w:val="00631070"/>
    <w:rsid w:val="00643701"/>
    <w:rsid w:val="00656F41"/>
    <w:rsid w:val="00662B21"/>
    <w:rsid w:val="00663174"/>
    <w:rsid w:val="006642C7"/>
    <w:rsid w:val="00674CBC"/>
    <w:rsid w:val="006831CB"/>
    <w:rsid w:val="006B617E"/>
    <w:rsid w:val="006C3093"/>
    <w:rsid w:val="006C7553"/>
    <w:rsid w:val="006E2848"/>
    <w:rsid w:val="006E65AA"/>
    <w:rsid w:val="006E7AF5"/>
    <w:rsid w:val="0070167A"/>
    <w:rsid w:val="0070230F"/>
    <w:rsid w:val="007047CD"/>
    <w:rsid w:val="00713F86"/>
    <w:rsid w:val="007252D3"/>
    <w:rsid w:val="0074035B"/>
    <w:rsid w:val="00741EC8"/>
    <w:rsid w:val="007462EA"/>
    <w:rsid w:val="0074756D"/>
    <w:rsid w:val="00760A2E"/>
    <w:rsid w:val="00770C3B"/>
    <w:rsid w:val="00775E9C"/>
    <w:rsid w:val="00793DA7"/>
    <w:rsid w:val="007A0791"/>
    <w:rsid w:val="007A2899"/>
    <w:rsid w:val="007A4443"/>
    <w:rsid w:val="007A5D40"/>
    <w:rsid w:val="007B0A70"/>
    <w:rsid w:val="007B1DBD"/>
    <w:rsid w:val="007B71AC"/>
    <w:rsid w:val="007C0006"/>
    <w:rsid w:val="007C18AC"/>
    <w:rsid w:val="007C658D"/>
    <w:rsid w:val="007D1822"/>
    <w:rsid w:val="007D7760"/>
    <w:rsid w:val="007E2A98"/>
    <w:rsid w:val="007F3A77"/>
    <w:rsid w:val="007F4615"/>
    <w:rsid w:val="008053FA"/>
    <w:rsid w:val="008060D1"/>
    <w:rsid w:val="00806AC0"/>
    <w:rsid w:val="0081644F"/>
    <w:rsid w:val="0082765C"/>
    <w:rsid w:val="00834C72"/>
    <w:rsid w:val="00852A7E"/>
    <w:rsid w:val="00854718"/>
    <w:rsid w:val="0085478E"/>
    <w:rsid w:val="008605B5"/>
    <w:rsid w:val="00880159"/>
    <w:rsid w:val="0088797D"/>
    <w:rsid w:val="008965EC"/>
    <w:rsid w:val="008A6983"/>
    <w:rsid w:val="008A7507"/>
    <w:rsid w:val="008B32A4"/>
    <w:rsid w:val="008C22FD"/>
    <w:rsid w:val="008E71BD"/>
    <w:rsid w:val="009072E3"/>
    <w:rsid w:val="00911831"/>
    <w:rsid w:val="0091453E"/>
    <w:rsid w:val="00917BB1"/>
    <w:rsid w:val="0092006D"/>
    <w:rsid w:val="00921EAB"/>
    <w:rsid w:val="00934F1E"/>
    <w:rsid w:val="0093716F"/>
    <w:rsid w:val="0094561C"/>
    <w:rsid w:val="00945B7B"/>
    <w:rsid w:val="009477BD"/>
    <w:rsid w:val="00952551"/>
    <w:rsid w:val="009643DE"/>
    <w:rsid w:val="0097469A"/>
    <w:rsid w:val="009775D6"/>
    <w:rsid w:val="00991D28"/>
    <w:rsid w:val="00993E6F"/>
    <w:rsid w:val="009A15BC"/>
    <w:rsid w:val="009B1A11"/>
    <w:rsid w:val="009C2AC4"/>
    <w:rsid w:val="009C3C9F"/>
    <w:rsid w:val="009D4BE0"/>
    <w:rsid w:val="009E40DC"/>
    <w:rsid w:val="009F058A"/>
    <w:rsid w:val="00A04BD6"/>
    <w:rsid w:val="00A056AE"/>
    <w:rsid w:val="00A05E3F"/>
    <w:rsid w:val="00A27EA5"/>
    <w:rsid w:val="00A32325"/>
    <w:rsid w:val="00A3266B"/>
    <w:rsid w:val="00A3569C"/>
    <w:rsid w:val="00A359FD"/>
    <w:rsid w:val="00A50964"/>
    <w:rsid w:val="00A5410B"/>
    <w:rsid w:val="00A65C77"/>
    <w:rsid w:val="00A7040A"/>
    <w:rsid w:val="00A77AC8"/>
    <w:rsid w:val="00A8628F"/>
    <w:rsid w:val="00A90122"/>
    <w:rsid w:val="00A90D7C"/>
    <w:rsid w:val="00A913DB"/>
    <w:rsid w:val="00A94A6D"/>
    <w:rsid w:val="00AB1AE7"/>
    <w:rsid w:val="00AB5965"/>
    <w:rsid w:val="00AB6A35"/>
    <w:rsid w:val="00AB6BFB"/>
    <w:rsid w:val="00AC068A"/>
    <w:rsid w:val="00AC68C5"/>
    <w:rsid w:val="00AD2484"/>
    <w:rsid w:val="00B01628"/>
    <w:rsid w:val="00B13783"/>
    <w:rsid w:val="00B178C7"/>
    <w:rsid w:val="00B25453"/>
    <w:rsid w:val="00B2558D"/>
    <w:rsid w:val="00B312A1"/>
    <w:rsid w:val="00B36372"/>
    <w:rsid w:val="00B52D9F"/>
    <w:rsid w:val="00B563E1"/>
    <w:rsid w:val="00B621AC"/>
    <w:rsid w:val="00B74AEF"/>
    <w:rsid w:val="00B8426D"/>
    <w:rsid w:val="00B9409D"/>
    <w:rsid w:val="00B94A09"/>
    <w:rsid w:val="00BA58BB"/>
    <w:rsid w:val="00BB17FE"/>
    <w:rsid w:val="00BB35E1"/>
    <w:rsid w:val="00BC6BF0"/>
    <w:rsid w:val="00BC7C58"/>
    <w:rsid w:val="00BE7E57"/>
    <w:rsid w:val="00BF45C6"/>
    <w:rsid w:val="00BF5964"/>
    <w:rsid w:val="00C00CB2"/>
    <w:rsid w:val="00C11D9C"/>
    <w:rsid w:val="00C12053"/>
    <w:rsid w:val="00C31AC7"/>
    <w:rsid w:val="00C43135"/>
    <w:rsid w:val="00C52006"/>
    <w:rsid w:val="00C62AC1"/>
    <w:rsid w:val="00C62ACC"/>
    <w:rsid w:val="00C63805"/>
    <w:rsid w:val="00C64DA4"/>
    <w:rsid w:val="00C67741"/>
    <w:rsid w:val="00C71E99"/>
    <w:rsid w:val="00C97903"/>
    <w:rsid w:val="00CB7D04"/>
    <w:rsid w:val="00CC1829"/>
    <w:rsid w:val="00CD75EE"/>
    <w:rsid w:val="00CE76E0"/>
    <w:rsid w:val="00CE7F90"/>
    <w:rsid w:val="00CF10E0"/>
    <w:rsid w:val="00CF3AE8"/>
    <w:rsid w:val="00CF7734"/>
    <w:rsid w:val="00D03E41"/>
    <w:rsid w:val="00D0519D"/>
    <w:rsid w:val="00D1163F"/>
    <w:rsid w:val="00D12025"/>
    <w:rsid w:val="00D13610"/>
    <w:rsid w:val="00D14F4E"/>
    <w:rsid w:val="00D22ADB"/>
    <w:rsid w:val="00D23C4A"/>
    <w:rsid w:val="00D252EC"/>
    <w:rsid w:val="00D3594A"/>
    <w:rsid w:val="00D369A5"/>
    <w:rsid w:val="00D43519"/>
    <w:rsid w:val="00D549FB"/>
    <w:rsid w:val="00D574C3"/>
    <w:rsid w:val="00D62AC5"/>
    <w:rsid w:val="00D65D32"/>
    <w:rsid w:val="00D93569"/>
    <w:rsid w:val="00DA23AF"/>
    <w:rsid w:val="00DA3685"/>
    <w:rsid w:val="00DA3BC6"/>
    <w:rsid w:val="00DB0E2E"/>
    <w:rsid w:val="00DC1C23"/>
    <w:rsid w:val="00DC2B94"/>
    <w:rsid w:val="00DC5B8B"/>
    <w:rsid w:val="00DD2A79"/>
    <w:rsid w:val="00DD6001"/>
    <w:rsid w:val="00DE16F7"/>
    <w:rsid w:val="00DF0D91"/>
    <w:rsid w:val="00DF32AA"/>
    <w:rsid w:val="00DF4A58"/>
    <w:rsid w:val="00E024A1"/>
    <w:rsid w:val="00E100D5"/>
    <w:rsid w:val="00E114D2"/>
    <w:rsid w:val="00E33EED"/>
    <w:rsid w:val="00E35287"/>
    <w:rsid w:val="00E42708"/>
    <w:rsid w:val="00E451E8"/>
    <w:rsid w:val="00E469AF"/>
    <w:rsid w:val="00E5096D"/>
    <w:rsid w:val="00E52AFA"/>
    <w:rsid w:val="00E52DE8"/>
    <w:rsid w:val="00E62050"/>
    <w:rsid w:val="00E6315C"/>
    <w:rsid w:val="00E815C0"/>
    <w:rsid w:val="00E81F46"/>
    <w:rsid w:val="00E85BAB"/>
    <w:rsid w:val="00E86127"/>
    <w:rsid w:val="00EA0CE8"/>
    <w:rsid w:val="00EA17EA"/>
    <w:rsid w:val="00EA68A6"/>
    <w:rsid w:val="00EB1BEE"/>
    <w:rsid w:val="00EC292E"/>
    <w:rsid w:val="00EC6175"/>
    <w:rsid w:val="00EE1687"/>
    <w:rsid w:val="00EE2BB2"/>
    <w:rsid w:val="00EE4308"/>
    <w:rsid w:val="00F000DB"/>
    <w:rsid w:val="00F06CFB"/>
    <w:rsid w:val="00F078B4"/>
    <w:rsid w:val="00F10031"/>
    <w:rsid w:val="00F12477"/>
    <w:rsid w:val="00F12E55"/>
    <w:rsid w:val="00F260CA"/>
    <w:rsid w:val="00F30965"/>
    <w:rsid w:val="00F3707E"/>
    <w:rsid w:val="00F44B0B"/>
    <w:rsid w:val="00F46D72"/>
    <w:rsid w:val="00F53741"/>
    <w:rsid w:val="00F55791"/>
    <w:rsid w:val="00F628AC"/>
    <w:rsid w:val="00F64DA5"/>
    <w:rsid w:val="00F66790"/>
    <w:rsid w:val="00F67574"/>
    <w:rsid w:val="00F7194B"/>
    <w:rsid w:val="00F818C6"/>
    <w:rsid w:val="00F82D66"/>
    <w:rsid w:val="00F91599"/>
    <w:rsid w:val="00FA402E"/>
    <w:rsid w:val="00FA7026"/>
    <w:rsid w:val="00FB1130"/>
    <w:rsid w:val="00FB2A49"/>
    <w:rsid w:val="00FC6CC6"/>
    <w:rsid w:val="00FD1A82"/>
    <w:rsid w:val="00FD2251"/>
    <w:rsid w:val="00FD31DD"/>
    <w:rsid w:val="00FE0421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F228"/>
  <w15:docId w15:val="{8954CA4C-050D-4952-9E11-40D3460A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C7"/>
  </w:style>
  <w:style w:type="paragraph" w:styleId="1">
    <w:name w:val="heading 1"/>
    <w:basedOn w:val="a"/>
    <w:next w:val="a"/>
    <w:link w:val="10"/>
    <w:uiPriority w:val="9"/>
    <w:qFormat/>
    <w:rsid w:val="003623C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C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C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C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C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C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C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C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C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23C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623C7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623C7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623C7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23C7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23C7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23C7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23C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623C7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623C7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623C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623C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623C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3623C7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3623C7"/>
    <w:rPr>
      <w:b/>
      <w:bCs/>
    </w:rPr>
  </w:style>
  <w:style w:type="character" w:styleId="aa">
    <w:name w:val="Emphasis"/>
    <w:uiPriority w:val="20"/>
    <w:qFormat/>
    <w:rsid w:val="003623C7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3623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23C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623C7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23C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3623C7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3623C7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3623C7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3623C7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3623C7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3623C7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3623C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3623C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23C7"/>
  </w:style>
  <w:style w:type="paragraph" w:styleId="af6">
    <w:name w:val="footer"/>
    <w:basedOn w:val="a"/>
    <w:link w:val="af7"/>
    <w:uiPriority w:val="99"/>
    <w:unhideWhenUsed/>
    <w:rsid w:val="003623C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23C7"/>
  </w:style>
  <w:style w:type="character" w:styleId="af8">
    <w:name w:val="Hyperlink"/>
    <w:basedOn w:val="a0"/>
    <w:uiPriority w:val="99"/>
    <w:unhideWhenUsed/>
    <w:rsid w:val="00663174"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rsid w:val="00163758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74C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4C1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48474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mrcssattr">
    <w:name w:val="msonormal_mr_css_attr"/>
    <w:basedOn w:val="a"/>
    <w:rsid w:val="00F370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61D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0167A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ec.ru/electric_market/uchet/" TargetMode="External"/><Relationship Id="rId13" Type="http://schemas.openxmlformats.org/officeDocument/2006/relationships/hyperlink" Target="https://www.dvec.ru/electric_market/uchet/" TargetMode="External"/><Relationship Id="rId18" Type="http://schemas.openxmlformats.org/officeDocument/2006/relationships/hyperlink" Target="https://www.dvec.ru/electric_market/uchet/" TargetMode="External"/><Relationship Id="rId26" Type="http://schemas.openxmlformats.org/officeDocument/2006/relationships/hyperlink" Target="http://base.garant.ru/701832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vec.ru/electric_market/uchet/" TargetMode="External"/><Relationship Id="rId34" Type="http://schemas.openxmlformats.org/officeDocument/2006/relationships/hyperlink" Target="https://www.dvec.ru/electric_market/uchet/" TargetMode="External"/><Relationship Id="rId7" Type="http://schemas.openxmlformats.org/officeDocument/2006/relationships/hyperlink" Target="https://www.dvec.ru/electric_market/uchet/" TargetMode="External"/><Relationship Id="rId12" Type="http://schemas.openxmlformats.org/officeDocument/2006/relationships/hyperlink" Target="https://www.dvec.ru/electric_market/uchet/" TargetMode="External"/><Relationship Id="rId17" Type="http://schemas.openxmlformats.org/officeDocument/2006/relationships/hyperlink" Target="https://www.dvec.ru/electric_market/uchet/" TargetMode="External"/><Relationship Id="rId25" Type="http://schemas.openxmlformats.org/officeDocument/2006/relationships/hyperlink" Target="http://base.garant.ru/12186043/" TargetMode="External"/><Relationship Id="rId33" Type="http://schemas.openxmlformats.org/officeDocument/2006/relationships/hyperlink" Target="https://www.dvec.ru/electric_market/uche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vec.ru/electric_market/uchet/" TargetMode="External"/><Relationship Id="rId20" Type="http://schemas.openxmlformats.org/officeDocument/2006/relationships/hyperlink" Target="https://www.dvec.ru/electric_market/uchet/" TargetMode="External"/><Relationship Id="rId29" Type="http://schemas.openxmlformats.org/officeDocument/2006/relationships/hyperlink" Target="https://www.dvec.ru/electric_market/uch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ec.ru/electric_market/uchet/" TargetMode="External"/><Relationship Id="rId24" Type="http://schemas.openxmlformats.org/officeDocument/2006/relationships/hyperlink" Target="https://www.dvec.ru/electric_market/uchet/" TargetMode="External"/><Relationship Id="rId32" Type="http://schemas.openxmlformats.org/officeDocument/2006/relationships/hyperlink" Target="http://base.garant.ru/70183216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vec.ru/electric_market/uchet/" TargetMode="External"/><Relationship Id="rId23" Type="http://schemas.openxmlformats.org/officeDocument/2006/relationships/hyperlink" Target="http://base.garant.ru/70183216/" TargetMode="External"/><Relationship Id="rId28" Type="http://schemas.openxmlformats.org/officeDocument/2006/relationships/hyperlink" Target="https://www.dvec.ru/electric_market/uchet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dvec.ru/electric_market/uchet/" TargetMode="External"/><Relationship Id="rId19" Type="http://schemas.openxmlformats.org/officeDocument/2006/relationships/hyperlink" Target="https://www.dvec.ru/electric_market/uchet/" TargetMode="External"/><Relationship Id="rId31" Type="http://schemas.openxmlformats.org/officeDocument/2006/relationships/hyperlink" Target="https://www.dvec.ru/electric_market/uch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216/" TargetMode="External"/><Relationship Id="rId14" Type="http://schemas.openxmlformats.org/officeDocument/2006/relationships/hyperlink" Target="https://www.dvec.ru/electric_market/uchet/" TargetMode="External"/><Relationship Id="rId22" Type="http://schemas.openxmlformats.org/officeDocument/2006/relationships/hyperlink" Target="https://www.dvec.ru/electric_market/uchet/" TargetMode="External"/><Relationship Id="rId27" Type="http://schemas.openxmlformats.org/officeDocument/2006/relationships/hyperlink" Target="https://www.dvec.ru/electric_market/uchet/" TargetMode="External"/><Relationship Id="rId30" Type="http://schemas.openxmlformats.org/officeDocument/2006/relationships/hyperlink" Target="https://www.dvec.ru/electric_market/uchet/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ek-ussur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7190</Words>
  <Characters>40987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Кутузов;ТЭК Уссури</dc:creator>
  <cp:lastModifiedBy>Алексей Кутузов</cp:lastModifiedBy>
  <cp:revision>3</cp:revision>
  <cp:lastPrinted>2024-03-18T23:22:00Z</cp:lastPrinted>
  <dcterms:created xsi:type="dcterms:W3CDTF">2024-08-20T01:08:00Z</dcterms:created>
  <dcterms:modified xsi:type="dcterms:W3CDTF">2024-08-20T01:10:00Z</dcterms:modified>
</cp:coreProperties>
</file>