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 для ЖК Смородина</w:t>
      </w:r>
      <w:r>
        <w:rPr>
          <w:rFonts w:ascii="Times New Roman" w:hAnsi="Times New Roman" w:cs="Times New Roman"/>
        </w:rPr>
        <w:br/>
        <w:br/>
        <w:t xml:space="preserve">*</w:t>
      </w:r>
      <w:r>
        <w:rPr>
          <w:rFonts w:ascii="Times New Roman" w:hAnsi="Times New Roman" w:cs="Times New Roman"/>
        </w:rPr>
        <w:t xml:space="preserve">ПСК на момент заключения </w:t>
      </w:r>
      <w:r>
        <w:rPr>
          <w:rFonts w:ascii="Times New Roman" w:hAnsi="Times New Roman" w:cs="Times New Roman"/>
        </w:rPr>
        <w:t xml:space="preserve">д</w:t>
      </w:r>
      <w:r>
        <w:rPr>
          <w:rFonts w:ascii="Times New Roman" w:hAnsi="Times New Roman" w:cs="Times New Roman"/>
        </w:rPr>
        <w:t xml:space="preserve">оговора </w:t>
      </w: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7,210</w:t>
      </w:r>
      <w:r>
        <w:rPr>
          <w:rFonts w:ascii="Times New Roman" w:hAnsi="Times New Roman" w:cs="Times New Roman"/>
        </w:rPr>
        <w:t xml:space="preserve">% до </w:t>
      </w:r>
      <w:r>
        <w:rPr>
          <w:rFonts w:ascii="Times New Roman" w:hAnsi="Times New Roman" w:cs="Times New Roman"/>
        </w:rPr>
        <w:t xml:space="preserve">8,161</w:t>
      </w:r>
      <w:r>
        <w:rPr>
          <w:rFonts w:ascii="Times New Roman" w:hAnsi="Times New Roman" w:cs="Times New Roman"/>
        </w:rPr>
        <w:t xml:space="preserve">%. Ставка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применяется в случае присоединения заемщика с его согласия к акции «</w:t>
      </w:r>
      <w:r>
        <w:rPr>
          <w:rFonts w:ascii="Times New Roman" w:hAnsi="Times New Roman" w:cs="Times New Roman"/>
          <w:color w:val="000000"/>
        </w:rPr>
        <w:t xml:space="preserve">Правильная ипотека</w:t>
      </w:r>
      <w:r>
        <w:rPr>
          <w:rFonts w:ascii="Times New Roman" w:hAnsi="Times New Roman" w:cs="Times New Roman"/>
          <w:color w:val="000000"/>
        </w:rPr>
        <w:t xml:space="preserve">»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Style w:val="1_105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Кредит предоставляется </w:t>
      </w:r>
      <w:r>
        <w:rPr>
          <w:rFonts w:ascii="Times New Roman" w:hAnsi="Times New Roman" w:cs="Times New Roman"/>
          <w:color w:val="000000"/>
        </w:rPr>
        <w:t xml:space="preserve">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приобретени</w:t>
      </w:r>
      <w:r>
        <w:rPr>
          <w:rFonts w:ascii="Times New Roman" w:hAnsi="Times New Roman" w:cs="Times New Roman"/>
          <w:color w:val="000000"/>
        </w:rPr>
        <w:t xml:space="preserve">е</w:t>
      </w:r>
      <w:r>
        <w:rPr>
          <w:rFonts w:ascii="Times New Roman" w:hAnsi="Times New Roman" w:cs="Times New Roman"/>
          <w:color w:val="000000"/>
        </w:rPr>
        <w:t xml:space="preserve"> жилого помещения на первичном рынке в аккредитованных Банком объектах строительства у </w:t>
      </w:r>
      <w:r>
        <w:rPr>
          <w:rFonts w:ascii="Times New Roman" w:hAnsi="Times New Roman" w:cs="Times New Roman"/>
          <w:color w:val="000000"/>
          <w:highlight w:val="yellow"/>
        </w:rPr>
      </w:r>
      <w:hyperlink r:id="rId8" w:tooltip="https://jk-smorodina.ru/null" w:history="1">
        <w:r>
          <w:rPr>
            <w:rStyle w:val="812"/>
            <w:rFonts w:ascii="Liberation Sans" w:hAnsi="Liberation Sans" w:eastAsia="Liberation Sans" w:cs="Liberation Sans"/>
            <w:color w:val="ff8562"/>
            <w:sz w:val="17"/>
            <w:highlight w:val="none"/>
            <w:u w:val="none"/>
          </w:rPr>
          <w:t xml:space="preserve"> </w:t>
        </w:r>
        <w:r>
          <w:rPr>
            <w:rStyle w:val="812"/>
            <w:rFonts w:ascii="Liberation Sans" w:hAnsi="Liberation Sans" w:eastAsia="Liberation Sans" w:cs="Liberation Sans"/>
            <w:color w:val="000000" w:themeColor="text1"/>
            <w:sz w:val="17"/>
            <w:highlight w:val="none"/>
            <w:u w:val="none"/>
          </w:rPr>
          <w:t xml:space="preserve">ООО СЗ </w:t>
        </w:r>
        <w:r>
          <w:rPr>
            <w:rStyle w:val="812"/>
            <w:rFonts w:ascii="Liberation Sans" w:hAnsi="Liberation Sans" w:eastAsia="Liberation Sans" w:cs="Liberation Sans"/>
            <w:color w:val="000000" w:themeColor="text1"/>
            <w:sz w:val="17"/>
            <w:highlight w:val="none"/>
            <w:u w:val="none"/>
          </w:rPr>
          <w:t xml:space="preserve">"Спецфундаментстрой-С" (ОГРН</w:t>
        </w:r>
      </w:hyperlink>
      <w:r>
        <w:rPr>
          <w:rFonts w:ascii="Liberation Sans" w:hAnsi="Liberation Sans" w:eastAsia="Liberation Sans" w:cs="Liberation Sans"/>
          <w:color w:val="000000" w:themeColor="text1"/>
          <w:sz w:val="17"/>
          <w:highlight w:val="none"/>
        </w:rPr>
        <w:t xml:space="preserve"> 1194827010025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 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договору долевого участия/договору уступки по договору долевого участия/договору купли-продажи</w:t>
      </w:r>
      <w:r>
        <w:rPr>
          <w:rFonts w:ascii="Times New Roman" w:hAnsi="Times New Roman" w:cs="Times New Roman"/>
          <w:color w:val="000000"/>
        </w:rPr>
        <w:t xml:space="preserve">, подходящих под условия государственн</w:t>
      </w:r>
      <w:r>
        <w:rPr>
          <w:rFonts w:ascii="Times New Roman" w:hAnsi="Times New Roman" w:cs="Times New Roman"/>
          <w:color w:val="000000"/>
        </w:rPr>
        <w:t xml:space="preserve">ой</w:t>
      </w:r>
      <w:r>
        <w:rPr>
          <w:rFonts w:ascii="Times New Roman" w:hAnsi="Times New Roman" w:cs="Times New Roman"/>
          <w:color w:val="000000"/>
        </w:rPr>
        <w:t xml:space="preserve"> программ</w:t>
      </w:r>
      <w:r>
        <w:rPr>
          <w:rFonts w:ascii="Times New Roman" w:hAnsi="Times New Roman" w:cs="Times New Roman"/>
          <w:color w:val="000000"/>
        </w:rPr>
        <w:t xml:space="preserve">ы</w:t>
      </w:r>
      <w:r>
        <w:rPr>
          <w:rFonts w:ascii="Times New Roman" w:hAnsi="Times New Roman" w:cs="Times New Roman"/>
          <w:color w:val="000000"/>
        </w:rPr>
        <w:t xml:space="preserve">, при наличии договоров личного страхования и страхования жилого помещения (после оформления права собственнос</w:t>
      </w:r>
      <w:r>
        <w:rPr>
          <w:rFonts w:ascii="Times New Roman" w:hAnsi="Times New Roman" w:cs="Times New Roman"/>
          <w:color w:val="000000"/>
        </w:rPr>
        <w:t xml:space="preserve">ти). Валюта кредита - рубли РФ. Срок действия ставки </w:t>
      </w:r>
      <w:r>
        <w:rPr>
          <w:rFonts w:ascii="Times New Roman" w:hAnsi="Times New Roman" w:cs="Times New Roman"/>
          <w:color w:val="000000"/>
        </w:rPr>
        <w:t xml:space="preserve">20 </w:t>
      </w:r>
      <w:r>
        <w:rPr>
          <w:rFonts w:ascii="Times New Roman" w:hAnsi="Times New Roman" w:cs="Times New Roman"/>
          <w:color w:val="000000"/>
        </w:rPr>
        <w:t xml:space="preserve">мес. После указанного срока ставка увеличивается на </w:t>
      </w:r>
      <w:r>
        <w:rPr>
          <w:rFonts w:ascii="Times New Roman" w:hAnsi="Times New Roman" w:cs="Times New Roman"/>
          <w:color w:val="000000"/>
        </w:rPr>
        <w:t xml:space="preserve">6 </w:t>
      </w:r>
      <w:r>
        <w:rPr>
          <w:rFonts w:ascii="Times New Roman" w:hAnsi="Times New Roman" w:cs="Times New Roman"/>
          <w:color w:val="000000"/>
        </w:rPr>
        <w:t xml:space="preserve">п.п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Срок кредита от </w:t>
      </w:r>
      <w:r>
        <w:rPr>
          <w:rFonts w:ascii="Times New Roman" w:hAnsi="Times New Roman" w:cs="Times New Roman"/>
          <w:color w:val="000000"/>
        </w:rPr>
        <w:t xml:space="preserve">10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 30 лет. Размер кредита от 300 тыс. до </w:t>
      </w:r>
      <w:r>
        <w:rPr>
          <w:rFonts w:ascii="Times New Roman" w:hAnsi="Times New Roman" w:cs="Times New Roman"/>
          <w:color w:val="000000"/>
        </w:rPr>
        <w:t xml:space="preserve">6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млн руб.</w:t>
      </w:r>
      <w:r>
        <w:rPr>
          <w:rFonts w:ascii="Times New Roman" w:hAnsi="Times New Roman" w:cs="Times New Roman"/>
          <w:color w:val="000000"/>
        </w:rPr>
        <w:t xml:space="preserve">,</w:t>
      </w:r>
      <w:r>
        <w:rPr>
          <w:rFonts w:ascii="Times New Roman" w:hAnsi="Times New Roman" w:cs="Times New Roman"/>
          <w:color w:val="000000"/>
        </w:rPr>
        <w:t xml:space="preserve"> но не более </w:t>
      </w:r>
      <w:r>
        <w:rPr>
          <w:rFonts w:ascii="Times New Roman" w:hAnsi="Times New Roman" w:cs="Times New Roman"/>
          <w:color w:val="000000"/>
        </w:rPr>
        <w:t xml:space="preserve">7</w:t>
      </w:r>
      <w:r>
        <w:rPr>
          <w:rFonts w:ascii="Times New Roman" w:hAnsi="Times New Roman" w:cs="Times New Roman"/>
          <w:color w:val="000000"/>
        </w:rPr>
        <w:t xml:space="preserve">0</w:t>
      </w:r>
      <w:r>
        <w:rPr>
          <w:rFonts w:ascii="Times New Roman" w:hAnsi="Times New Roman" w:cs="Times New Roman"/>
          <w:color w:val="000000"/>
        </w:rPr>
        <w:t xml:space="preserve">%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от стоимости передаваемого в залог имущества</w:t>
      </w:r>
      <w:r>
        <w:rPr>
          <w:rFonts w:ascii="Times New Roman" w:hAnsi="Times New Roman" w:cs="Times New Roman"/>
          <w:color w:val="000000"/>
        </w:rPr>
        <w:t xml:space="preserve">.</w:t>
      </w:r>
      <w:r>
        <w:rPr>
          <w:rFonts w:ascii="Times New Roman" w:hAnsi="Times New Roman" w:cs="Times New Roman"/>
          <w:color w:val="000000"/>
        </w:rPr>
        <w:t xml:space="preserve"> Кредитный договор должен быть заключен по </w:t>
      </w:r>
      <w:r>
        <w:rPr>
          <w:rFonts w:ascii="Times New Roman" w:hAnsi="Times New Roman" w:cs="Times New Roman"/>
          <w:color w:val="000000"/>
        </w:rPr>
        <w:t xml:space="preserve">01</w:t>
      </w:r>
      <w:r>
        <w:rPr>
          <w:rFonts w:ascii="Times New Roman" w:hAnsi="Times New Roman" w:cs="Times New Roman"/>
          <w:color w:val="000000"/>
        </w:rPr>
        <w:t xml:space="preserve">.</w:t>
      </w:r>
      <w:r>
        <w:rPr>
          <w:rFonts w:ascii="Times New Roman" w:hAnsi="Times New Roman" w:cs="Times New Roman"/>
          <w:color w:val="000000"/>
        </w:rPr>
        <w:t xml:space="preserve">07</w:t>
      </w:r>
      <w:r>
        <w:rPr>
          <w:rFonts w:ascii="Times New Roman" w:hAnsi="Times New Roman" w:cs="Times New Roman"/>
          <w:color w:val="000000"/>
        </w:rPr>
        <w:t xml:space="preserve">.</w:t>
      </w:r>
      <w:r>
        <w:rPr>
          <w:rFonts w:ascii="Times New Roman" w:hAnsi="Times New Roman" w:cs="Times New Roman"/>
          <w:color w:val="000000"/>
        </w:rPr>
        <w:t xml:space="preserve">202</w:t>
      </w:r>
      <w:r>
        <w:rPr>
          <w:rFonts w:ascii="Times New Roman" w:hAnsi="Times New Roman" w:cs="Times New Roman"/>
          <w:color w:val="000000"/>
        </w:rPr>
        <w:t xml:space="preserve">4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г. (включительно). Минимальный размер первоначального взноса </w:t>
      </w:r>
      <w:r>
        <w:rPr>
          <w:rFonts w:ascii="Times New Roman" w:hAnsi="Times New Roman" w:cs="Times New Roman"/>
          <w:color w:val="000000"/>
        </w:rPr>
        <w:t xml:space="preserve">–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3</w:t>
      </w:r>
      <w:r>
        <w:rPr>
          <w:rFonts w:ascii="Times New Roman" w:hAnsi="Times New Roman" w:cs="Times New Roman"/>
          <w:color w:val="000000"/>
        </w:rPr>
        <w:t xml:space="preserve">0</w:t>
      </w:r>
      <w:r>
        <w:rPr>
          <w:rFonts w:ascii="Times New Roman" w:hAnsi="Times New Roman" w:cs="Times New Roman"/>
          <w:color w:val="000000"/>
        </w:rPr>
        <w:t xml:space="preserve">,01</w:t>
      </w:r>
      <w:r>
        <w:rPr>
          <w:rFonts w:ascii="Times New Roman" w:hAnsi="Times New Roman" w:cs="Times New Roman"/>
          <w:color w:val="000000"/>
        </w:rPr>
        <w:t xml:space="preserve">%</w:t>
      </w:r>
      <w:r>
        <w:rPr>
          <w:rFonts w:ascii="Times New Roman" w:hAnsi="Times New Roman" w:cs="Times New Roman"/>
          <w:color w:val="000000"/>
        </w:rPr>
        <w:t xml:space="preserve">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допускается использование средств МСК в качестве первоначального взноса.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Информация действительна на </w:t>
      </w:r>
      <w:r>
        <w:rPr>
          <w:rFonts w:ascii="Times New Roman" w:hAnsi="Times New Roman" w:cs="Times New Roman"/>
          <w:color w:val="000000"/>
        </w:rPr>
        <w:t xml:space="preserve">19.01.2024</w:t>
      </w:r>
      <w:r>
        <w:rPr>
          <w:rFonts w:ascii="Times New Roman" w:hAnsi="Times New Roman" w:cs="Times New Roman"/>
          <w:color w:val="000000"/>
        </w:rPr>
        <w:t xml:space="preserve">.</w:t>
      </w:r>
      <w:r>
        <w:rPr>
          <w:rFonts w:ascii="Times New Roman" w:hAnsi="Times New Roman" w:cs="Times New Roman"/>
          <w:color w:val="000000"/>
        </w:rPr>
        <w:t xml:space="preserve">Кредит предоставляется ПАО «Совкомбанк» (генеральная лицензия Банка России №963 от 05 декабря 2014 г.)</w:t>
      </w:r>
      <w:r>
        <w:rPr>
          <w:rFonts w:ascii="Times New Roman" w:hAnsi="Times New Roman" w:cs="Times New Roman"/>
          <w:color w:val="000000"/>
        </w:rPr>
        <w:t xml:space="preserve">Банк принимает решение о заключении кредитного договора на основании всей предоставленной информации в соответствии с требованиями к заемщикам.</w:t>
      </w:r>
      <w:r>
        <w:rPr>
          <w:rFonts w:ascii="Times New Roman" w:hAnsi="Times New Roman" w:cs="Times New Roman"/>
          <w:color w:val="000000"/>
        </w:rPr>
        <w:br/>
        <w:br/>
      </w:r>
      <w:r>
        <w:rPr>
          <w:rFonts w:ascii="Times New Roman" w:hAnsi="Times New Roman" w:cs="Times New Roman"/>
          <w:sz w:val="20"/>
          <w:szCs w:val="20"/>
        </w:rPr>
        <w:t xml:space="preserve">*</w:t>
      </w:r>
      <w:r>
        <w:rPr>
          <w:rFonts w:ascii="Times New Roman" w:hAnsi="Times New Roman" w:cs="Times New Roman"/>
          <w:sz w:val="20"/>
          <w:szCs w:val="20"/>
        </w:rPr>
        <w:t xml:space="preserve">ПСК на момент заключения </w:t>
      </w:r>
      <w:r>
        <w:rPr>
          <w:rFonts w:ascii="Times New Roman" w:hAnsi="Times New Roman" w:cs="Times New Roman"/>
          <w:sz w:val="20"/>
          <w:szCs w:val="20"/>
        </w:rPr>
        <w:t xml:space="preserve">д</w:t>
      </w:r>
      <w:r>
        <w:rPr>
          <w:rFonts w:ascii="Times New Roman" w:hAnsi="Times New Roman" w:cs="Times New Roman"/>
          <w:sz w:val="20"/>
          <w:szCs w:val="20"/>
        </w:rPr>
        <w:t xml:space="preserve">оговора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4,275</w:t>
      </w:r>
      <w:r>
        <w:rPr>
          <w:rFonts w:ascii="Times New Roman" w:hAnsi="Times New Roman" w:cs="Times New Roman"/>
          <w:sz w:val="20"/>
          <w:szCs w:val="20"/>
        </w:rPr>
        <w:t xml:space="preserve">% до </w:t>
      </w:r>
      <w:r>
        <w:rPr>
          <w:rFonts w:ascii="Times New Roman" w:hAnsi="Times New Roman" w:cs="Times New Roman"/>
          <w:sz w:val="20"/>
          <w:szCs w:val="20"/>
        </w:rPr>
        <w:t xml:space="preserve">6,541</w:t>
      </w:r>
      <w:r>
        <w:rPr>
          <w:rFonts w:ascii="Times New Roman" w:hAnsi="Times New Roman" w:cs="Times New Roman"/>
          <w:sz w:val="20"/>
          <w:szCs w:val="20"/>
        </w:rPr>
        <w:t xml:space="preserve">%. Ставка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применяется при рождении у заемщика первого и/или последующего ребенка, имеющего гражданство РФ, в период с 01.01.2018 до 31.12.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2023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/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ребенка, имеющего гражданство РФ, рожденного не позднее 31.12.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2023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которому присвоен статус «ребенок-инвалид»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/при наличии </w:t>
      </w:r>
      <w:r>
        <w:rPr>
          <w:rFonts w:ascii="Times New Roman" w:hAnsi="Times New Roman" w:cs="Times New Roman"/>
          <w:sz w:val="20"/>
          <w:szCs w:val="20"/>
        </w:rPr>
        <w:t xml:space="preserve">двух и более детей, которые не достигли возраста 18 лет на дату заключения кредитного договора (договора займа) и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случае присоединения заемщика с его согласия к акции «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Правильная ипотека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Валюта кредита - рубли РФ.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Срок действия ставки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мес. После указанного срока ставка увеличивается 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п.п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Срок кредита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3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 30 лет. Размер кредита от 300 тыс. до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 млн руб.</w:t>
      </w:r>
      <w:r>
        <w:rPr>
          <w:rFonts w:ascii="Times New Roman" w:hAnsi="Times New Roman" w:cs="Times New Roman"/>
          <w:sz w:val="20"/>
          <w:szCs w:val="20"/>
        </w:rPr>
        <w:t xml:space="preserve"> для г. Москвы, Московской области, г. Санкт-Петербурга или Ленинградской области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(10 млн руб. для заявок с несовершеннолетними залогодателями)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/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6 млн руб. для остальных регионов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но не более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%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стоимости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передаваемого в залог имущества. Минимальный размер первоначального взноса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–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,01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%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допускается использование средств МСК в качестве первоначального взноса.</w:t>
      </w:r>
      <w:r/>
      <w:r>
        <w:rPr>
          <w:rFonts w:ascii="Times New Roman" w:hAnsi="Times New Roman" w:cs="Times New Roman"/>
        </w:rPr>
      </w:r>
    </w:p>
    <w:p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Кредит предоставляется на приобретение квартиры на первичном рынке в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аккредитованн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Банком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дресу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</w:t>
      </w:r>
      <w:hyperlink r:id="rId9" w:tooltip="https://jk-smorodina.ru/null" w:history="1">
        <w:r>
          <w:rPr>
            <w:rStyle w:val="812"/>
            <w:rFonts w:ascii="Liberation Sans" w:hAnsi="Liberation Sans" w:eastAsia="Liberation Sans" w:cs="Liberation Sans"/>
            <w:color w:val="000000" w:themeColor="text1"/>
            <w:sz w:val="17"/>
            <w:highlight w:val="none"/>
            <w:u w:val="none"/>
          </w:rPr>
          <w:t xml:space="preserve"> ООО СЗ "Спецфундаментстрой-С" (ОГРН</w:t>
        </w:r>
      </w:hyperlink>
      <w:r>
        <w:rPr>
          <w:rFonts w:ascii="Liberation Sans" w:hAnsi="Liberation Sans" w:eastAsia="Liberation Sans" w:cs="Liberation Sans"/>
          <w:color w:val="000000" w:themeColor="text1"/>
          <w:sz w:val="17"/>
          <w:highlight w:val="none"/>
        </w:rPr>
        <w:t xml:space="preserve"> 1194827010025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договору долевого участия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/договору уступки по договору долевого участия/договору купли-продажи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подходящих под условия государственной программы, при наличии договоров личного и имущественного страхования (после оформления права собственности).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Информация действительна 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19.01.2024 г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Кредит предоставляется ПАО «Совкомбанк»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(г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енеральная лицензия Банка России №963 от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 декабря 2014 г.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</w:t>
      </w:r>
      <w:r>
        <w:rPr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</w:r>
    </w:p>
    <w:p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Банк принимает решение о заключении кредитного договора на основании всей предоставленной информации в соответствии с требованиями к заемщикам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br/>
        <w:br/>
        <w:t xml:space="preserve">Условия для ЖК Ритм</w:t>
        <w:br/>
        <w:br/>
      </w:r>
      <w:r>
        <w:rPr>
          <w:rFonts w:ascii="Times New Roman" w:hAnsi="Times New Roman" w:cs="Times New Roman"/>
        </w:rPr>
        <w:t xml:space="preserve">*</w:t>
      </w:r>
      <w:r>
        <w:rPr>
          <w:rFonts w:ascii="Times New Roman" w:hAnsi="Times New Roman" w:cs="Times New Roman"/>
        </w:rPr>
        <w:t xml:space="preserve">ПСК на момент заключения </w:t>
      </w:r>
      <w:r>
        <w:rPr>
          <w:rFonts w:ascii="Times New Roman" w:hAnsi="Times New Roman" w:cs="Times New Roman"/>
        </w:rPr>
        <w:t xml:space="preserve">д</w:t>
      </w:r>
      <w:r>
        <w:rPr>
          <w:rFonts w:ascii="Times New Roman" w:hAnsi="Times New Roman" w:cs="Times New Roman"/>
        </w:rPr>
        <w:t xml:space="preserve">оговора </w:t>
      </w: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7,</w:t>
      </w:r>
      <w:r>
        <w:rPr>
          <w:rFonts w:ascii="Times New Roman" w:hAnsi="Times New Roman" w:cs="Times New Roman"/>
        </w:rPr>
        <w:t xml:space="preserve">843</w:t>
      </w:r>
      <w:r>
        <w:rPr>
          <w:rFonts w:ascii="Times New Roman" w:hAnsi="Times New Roman" w:cs="Times New Roman"/>
        </w:rPr>
        <w:t xml:space="preserve">% до </w:t>
      </w:r>
      <w:r>
        <w:rPr>
          <w:rFonts w:ascii="Times New Roman" w:hAnsi="Times New Roman" w:cs="Times New Roman"/>
        </w:rPr>
        <w:t xml:space="preserve">8,481</w:t>
      </w:r>
      <w:r>
        <w:rPr>
          <w:rFonts w:ascii="Times New Roman" w:hAnsi="Times New Roman" w:cs="Times New Roman"/>
        </w:rPr>
        <w:t xml:space="preserve">%. Ставка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применяется в случае присоединения заемщика с его согласия к акции «</w:t>
      </w:r>
      <w:r>
        <w:rPr>
          <w:rFonts w:ascii="Times New Roman" w:hAnsi="Times New Roman" w:cs="Times New Roman"/>
          <w:color w:val="000000"/>
        </w:rPr>
        <w:t xml:space="preserve">Правильная ипотека</w:t>
      </w:r>
      <w:r>
        <w:rPr>
          <w:rFonts w:ascii="Times New Roman" w:hAnsi="Times New Roman" w:cs="Times New Roman"/>
          <w:color w:val="000000"/>
        </w:rPr>
        <w:t xml:space="preserve">»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Style w:val="1_105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Кредит предоставляется </w:t>
      </w:r>
      <w:r>
        <w:rPr>
          <w:rFonts w:ascii="Times New Roman" w:hAnsi="Times New Roman" w:cs="Times New Roman"/>
          <w:color w:val="000000"/>
        </w:rPr>
        <w:t xml:space="preserve">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приобретени</w:t>
      </w:r>
      <w:r>
        <w:rPr>
          <w:rFonts w:ascii="Times New Roman" w:hAnsi="Times New Roman" w:cs="Times New Roman"/>
          <w:color w:val="000000"/>
        </w:rPr>
        <w:t xml:space="preserve">е</w:t>
      </w:r>
      <w:r>
        <w:rPr>
          <w:rFonts w:ascii="Times New Roman" w:hAnsi="Times New Roman" w:cs="Times New Roman"/>
          <w:color w:val="000000"/>
        </w:rPr>
        <w:t xml:space="preserve"> жилого помещения на первичном рынке в аккредитованных Банком объектах строительства у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lang w:eastAsia="ru-RU"/>
        </w:rPr>
        <w:t xml:space="preserve">ООО «СЗ «КОМПАНИЯ СПЕЦФУНДАМЕНТСТРОЙ» </w:t>
      </w:r>
      <w:r>
        <w:rPr>
          <w:rFonts w:ascii="Times New Roman" w:hAnsi="Times New Roman" w:eastAsia="Times New Roman" w:cs="Times New Roman"/>
          <w:b w:val="0"/>
          <w:bCs w:val="0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b w:val="0"/>
          <w:bCs w:val="0"/>
          <w:lang w:eastAsia="ru-RU"/>
        </w:rPr>
        <w:t xml:space="preserve">ОГРН 1194827015261</w:t>
      </w:r>
      <w:r>
        <w:rPr>
          <w:rFonts w:ascii="Times New Roman" w:hAnsi="Times New Roman" w:eastAsia="Times New Roman" w:cs="Times New Roman"/>
          <w:b w:val="0"/>
          <w:bCs w:val="0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b w:val="0"/>
          <w:bCs w:val="0"/>
          <w:lang w:eastAsia="ru-RU"/>
        </w:rPr>
      </w:r>
    </w:p>
    <w:p>
      <w:pPr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 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договору долевого участия/договору уступки по договору долевого участия/договору купли-продажи</w:t>
      </w:r>
      <w:r>
        <w:rPr>
          <w:rFonts w:ascii="Times New Roman" w:hAnsi="Times New Roman" w:cs="Times New Roman"/>
          <w:color w:val="000000"/>
        </w:rPr>
        <w:t xml:space="preserve">, подходящих под условия государственн</w:t>
      </w:r>
      <w:r>
        <w:rPr>
          <w:rFonts w:ascii="Times New Roman" w:hAnsi="Times New Roman" w:cs="Times New Roman"/>
          <w:color w:val="000000"/>
        </w:rPr>
        <w:t xml:space="preserve">ой</w:t>
      </w:r>
      <w:r>
        <w:rPr>
          <w:rFonts w:ascii="Times New Roman" w:hAnsi="Times New Roman" w:cs="Times New Roman"/>
          <w:color w:val="000000"/>
        </w:rPr>
        <w:t xml:space="preserve"> программ</w:t>
      </w:r>
      <w:r>
        <w:rPr>
          <w:rFonts w:ascii="Times New Roman" w:hAnsi="Times New Roman" w:cs="Times New Roman"/>
          <w:color w:val="000000"/>
        </w:rPr>
        <w:t xml:space="preserve">ы</w:t>
      </w:r>
      <w:r>
        <w:rPr>
          <w:rFonts w:ascii="Times New Roman" w:hAnsi="Times New Roman" w:cs="Times New Roman"/>
          <w:color w:val="000000"/>
        </w:rPr>
        <w:t xml:space="preserve">, при наличии договоров личного страхования и страхования жилого помещения (после оформления права собственнос</w:t>
      </w:r>
      <w:r>
        <w:rPr>
          <w:rFonts w:ascii="Times New Roman" w:hAnsi="Times New Roman" w:cs="Times New Roman"/>
          <w:color w:val="000000"/>
        </w:rPr>
        <w:t xml:space="preserve">ти). Валюта кредита - рубли РФ. Срок действия ставки </w:t>
      </w:r>
      <w:r>
        <w:rPr>
          <w:rFonts w:ascii="Times New Roman" w:hAnsi="Times New Roman" w:cs="Times New Roman"/>
          <w:color w:val="000000"/>
        </w:rPr>
        <w:t xml:space="preserve">13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мес. После указанного срока ставка увеличивается на </w:t>
      </w:r>
      <w:r>
        <w:rPr>
          <w:rFonts w:ascii="Times New Roman" w:hAnsi="Times New Roman" w:cs="Times New Roman"/>
          <w:color w:val="000000"/>
        </w:rPr>
        <w:t xml:space="preserve">6 </w:t>
      </w:r>
      <w:r>
        <w:rPr>
          <w:rFonts w:ascii="Times New Roman" w:hAnsi="Times New Roman" w:cs="Times New Roman"/>
          <w:color w:val="000000"/>
        </w:rPr>
        <w:t xml:space="preserve">п.п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Срок кредита от </w:t>
      </w:r>
      <w:r>
        <w:rPr>
          <w:rFonts w:ascii="Times New Roman" w:hAnsi="Times New Roman" w:cs="Times New Roman"/>
          <w:color w:val="000000"/>
        </w:rPr>
        <w:t xml:space="preserve">10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 30 лет. Размер кредита от 300 тыс. до </w:t>
      </w:r>
      <w:r>
        <w:rPr>
          <w:rFonts w:ascii="Times New Roman" w:hAnsi="Times New Roman" w:cs="Times New Roman"/>
          <w:color w:val="000000"/>
        </w:rPr>
        <w:t xml:space="preserve">6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млн руб.</w:t>
      </w:r>
      <w:r>
        <w:rPr>
          <w:rFonts w:ascii="Times New Roman" w:hAnsi="Times New Roman" w:cs="Times New Roman"/>
          <w:color w:val="000000"/>
        </w:rPr>
        <w:t xml:space="preserve">,</w:t>
      </w:r>
      <w:r>
        <w:rPr>
          <w:rFonts w:ascii="Times New Roman" w:hAnsi="Times New Roman" w:cs="Times New Roman"/>
          <w:color w:val="000000"/>
        </w:rPr>
        <w:t xml:space="preserve"> но не более </w:t>
      </w:r>
      <w:r>
        <w:rPr>
          <w:rFonts w:ascii="Times New Roman" w:hAnsi="Times New Roman" w:cs="Times New Roman"/>
          <w:color w:val="000000"/>
        </w:rPr>
        <w:t xml:space="preserve">7</w:t>
      </w:r>
      <w:r>
        <w:rPr>
          <w:rFonts w:ascii="Times New Roman" w:hAnsi="Times New Roman" w:cs="Times New Roman"/>
          <w:color w:val="000000"/>
        </w:rPr>
        <w:t xml:space="preserve">0</w:t>
      </w:r>
      <w:r>
        <w:rPr>
          <w:rFonts w:ascii="Times New Roman" w:hAnsi="Times New Roman" w:cs="Times New Roman"/>
          <w:color w:val="000000"/>
        </w:rPr>
        <w:t xml:space="preserve">%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от стоимости передаваемого в залог имущества</w:t>
      </w:r>
      <w:r>
        <w:rPr>
          <w:rFonts w:ascii="Times New Roman" w:hAnsi="Times New Roman" w:cs="Times New Roman"/>
          <w:color w:val="000000"/>
        </w:rPr>
        <w:t xml:space="preserve">.</w:t>
      </w:r>
      <w:r>
        <w:rPr>
          <w:rFonts w:ascii="Times New Roman" w:hAnsi="Times New Roman" w:cs="Times New Roman"/>
          <w:color w:val="000000"/>
        </w:rPr>
        <w:t xml:space="preserve"> Кредитный договор должен быть заключен по </w:t>
      </w:r>
      <w:r>
        <w:rPr>
          <w:rFonts w:ascii="Times New Roman" w:hAnsi="Times New Roman" w:cs="Times New Roman"/>
          <w:color w:val="000000"/>
        </w:rPr>
        <w:t xml:space="preserve">01</w:t>
      </w:r>
      <w:r>
        <w:rPr>
          <w:rFonts w:ascii="Times New Roman" w:hAnsi="Times New Roman" w:cs="Times New Roman"/>
          <w:color w:val="000000"/>
        </w:rPr>
        <w:t xml:space="preserve">.</w:t>
      </w:r>
      <w:r>
        <w:rPr>
          <w:rFonts w:ascii="Times New Roman" w:hAnsi="Times New Roman" w:cs="Times New Roman"/>
          <w:color w:val="000000"/>
        </w:rPr>
        <w:t xml:space="preserve">07</w:t>
      </w:r>
      <w:r>
        <w:rPr>
          <w:rFonts w:ascii="Times New Roman" w:hAnsi="Times New Roman" w:cs="Times New Roman"/>
          <w:color w:val="000000"/>
        </w:rPr>
        <w:t xml:space="preserve">.</w:t>
      </w:r>
      <w:r>
        <w:rPr>
          <w:rFonts w:ascii="Times New Roman" w:hAnsi="Times New Roman" w:cs="Times New Roman"/>
          <w:color w:val="000000"/>
        </w:rPr>
        <w:t xml:space="preserve">202</w:t>
      </w:r>
      <w:r>
        <w:rPr>
          <w:rFonts w:ascii="Times New Roman" w:hAnsi="Times New Roman" w:cs="Times New Roman"/>
          <w:color w:val="000000"/>
        </w:rPr>
        <w:t xml:space="preserve">4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г. (включительно). Минимальный размер первоначального взноса </w:t>
      </w:r>
      <w:r>
        <w:rPr>
          <w:rFonts w:ascii="Times New Roman" w:hAnsi="Times New Roman" w:cs="Times New Roman"/>
          <w:color w:val="000000"/>
        </w:rPr>
        <w:t xml:space="preserve">–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3</w:t>
      </w:r>
      <w:r>
        <w:rPr>
          <w:rFonts w:ascii="Times New Roman" w:hAnsi="Times New Roman" w:cs="Times New Roman"/>
          <w:color w:val="000000"/>
        </w:rPr>
        <w:t xml:space="preserve">0</w:t>
      </w:r>
      <w:r>
        <w:rPr>
          <w:rFonts w:ascii="Times New Roman" w:hAnsi="Times New Roman" w:cs="Times New Roman"/>
          <w:color w:val="000000"/>
        </w:rPr>
        <w:t xml:space="preserve">,01</w:t>
      </w:r>
      <w:r>
        <w:rPr>
          <w:rFonts w:ascii="Times New Roman" w:hAnsi="Times New Roman" w:cs="Times New Roman"/>
          <w:color w:val="000000"/>
        </w:rPr>
        <w:t xml:space="preserve">%</w:t>
      </w:r>
      <w:r>
        <w:rPr>
          <w:rFonts w:ascii="Times New Roman" w:hAnsi="Times New Roman" w:cs="Times New Roman"/>
          <w:color w:val="000000"/>
        </w:rPr>
        <w:t xml:space="preserve">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допускается использование средств МСК в качестве первоначального взноса.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Информация действительна на </w:t>
      </w:r>
      <w:r>
        <w:rPr>
          <w:rFonts w:ascii="Times New Roman" w:hAnsi="Times New Roman" w:cs="Times New Roman"/>
          <w:color w:val="000000"/>
        </w:rPr>
        <w:t xml:space="preserve">19.01.2024</w:t>
      </w:r>
      <w:r>
        <w:rPr>
          <w:rFonts w:ascii="Times New Roman" w:hAnsi="Times New Roman" w:cs="Times New Roman"/>
          <w:color w:val="000000"/>
        </w:rPr>
        <w:t xml:space="preserve">.</w:t>
      </w:r>
      <w:r>
        <w:rPr>
          <w:rFonts w:ascii="Times New Roman" w:hAnsi="Times New Roman" w:cs="Times New Roman"/>
          <w:color w:val="000000"/>
        </w:rPr>
      </w:r>
      <w:r/>
    </w:p>
    <w:p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Кредит предоставляется ПАО «Совкомбанк» (генеральная лицензия Банка России №963 от 05 декабря 2014 г.)</w:t>
      </w:r>
      <w:r/>
      <w:r>
        <w:rPr>
          <w:rFonts w:ascii="Times New Roman" w:hAnsi="Times New Roman" w:cs="Times New Roman"/>
          <w:color w:val="000000"/>
        </w:rPr>
      </w:r>
    </w:p>
    <w:p>
      <w:pPr>
        <w:jc w:val="left"/>
        <w:rPr>
          <w:rFonts w:ascii="Times New Roman" w:hAnsi="Times New Roman" w:cs="Times New Roman"/>
          <w:color w:val="000000"/>
          <w:sz w:val="20"/>
          <w:szCs w:val="20"/>
          <w:highlight w:val="none"/>
        </w:rPr>
      </w:pPr>
      <w:r>
        <w:rPr>
          <w:rFonts w:ascii="Times New Roman" w:hAnsi="Times New Roman" w:cs="Times New Roman"/>
          <w:color w:val="000000"/>
        </w:rPr>
        <w:t xml:space="preserve">Банк принимает решение о заключении кредитного договора на основании всей предоставленной информации в соответствии с требованиями к заемщикам</w:t>
      </w:r>
      <w:r/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</w:t>
      </w:r>
      <w:r>
        <w:rPr>
          <w:sz w:val="20"/>
          <w:szCs w:val="20"/>
        </w:rPr>
      </w:r>
      <w:r/>
    </w:p>
    <w:p>
      <w:pPr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</w:r>
    </w:p>
    <w:p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</w:t>
      </w:r>
      <w:r>
        <w:rPr>
          <w:rFonts w:ascii="Times New Roman" w:hAnsi="Times New Roman" w:cs="Times New Roman"/>
          <w:sz w:val="20"/>
          <w:szCs w:val="20"/>
        </w:rPr>
        <w:t xml:space="preserve">ПСК на момент заключения </w:t>
      </w:r>
      <w:r>
        <w:rPr>
          <w:rFonts w:ascii="Times New Roman" w:hAnsi="Times New Roman" w:cs="Times New Roman"/>
          <w:sz w:val="20"/>
          <w:szCs w:val="20"/>
        </w:rPr>
        <w:t xml:space="preserve">д</w:t>
      </w:r>
      <w:r>
        <w:rPr>
          <w:rFonts w:ascii="Times New Roman" w:hAnsi="Times New Roman" w:cs="Times New Roman"/>
          <w:sz w:val="20"/>
          <w:szCs w:val="20"/>
        </w:rPr>
        <w:t xml:space="preserve">оговора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5,1</w:t>
      </w:r>
      <w:r>
        <w:rPr>
          <w:rFonts w:ascii="Times New Roman" w:hAnsi="Times New Roman" w:cs="Times New Roman"/>
          <w:sz w:val="20"/>
          <w:szCs w:val="20"/>
        </w:rPr>
        <w:t xml:space="preserve">% до </w:t>
      </w:r>
      <w:r>
        <w:rPr>
          <w:rFonts w:ascii="Times New Roman" w:hAnsi="Times New Roman" w:cs="Times New Roman"/>
          <w:sz w:val="20"/>
          <w:szCs w:val="20"/>
        </w:rPr>
        <w:t xml:space="preserve">6,742</w:t>
      </w:r>
      <w:r>
        <w:rPr>
          <w:rFonts w:ascii="Times New Roman" w:hAnsi="Times New Roman" w:cs="Times New Roman"/>
          <w:sz w:val="20"/>
          <w:szCs w:val="20"/>
        </w:rPr>
        <w:t xml:space="preserve">%. Ставка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применяется при рождении у заемщика первого и/или последующего ребенка, имеющего гражданство РФ, в период с 01.01.2018 до 31.12.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2023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/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ребенка, имеющего гражданство РФ, рожденного не позднее 31.12.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2023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которому присвоен статус «ребенок-инвалид»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/при наличии </w:t>
      </w:r>
      <w:r>
        <w:rPr>
          <w:rFonts w:ascii="Times New Roman" w:hAnsi="Times New Roman" w:cs="Times New Roman"/>
          <w:sz w:val="20"/>
          <w:szCs w:val="20"/>
        </w:rPr>
        <w:t xml:space="preserve">двух и более детей, которые не достигли возраста 18 лет на дату заключения кредитного договора (договора займа) и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случае присоединения заемщика с его согласия к акции «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Правильная ипотека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Валюта кредита - рубли РФ.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Срок действия ставки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мес. После указанного срока ставка увеличивается 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п.п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Срок кредита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3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 30 лет. Размер кредита от 300 тыс. до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 млн руб.</w:t>
      </w:r>
      <w:r>
        <w:rPr>
          <w:rFonts w:ascii="Times New Roman" w:hAnsi="Times New Roman" w:cs="Times New Roman"/>
          <w:sz w:val="20"/>
          <w:szCs w:val="20"/>
        </w:rPr>
        <w:t xml:space="preserve"> для г. Москвы, Московской области, г. Санкт-Петербурга или Ленинградской области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(10 млн руб. для заявок с несовершеннолетними залогодателями)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/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6 млн руб. для остальных регионов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но не более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%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стоимости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передаваемого в залог имущества. Минимальный размер первоначального взноса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–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,01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%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допускается использование средств МСК в качестве первоначального взноса.</w:t>
      </w:r>
      <w:r>
        <w:rPr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</w:r>
    </w:p>
    <w:p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Кредит предоставляется на приобретение квартиры на первичном рынке в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аккредитованн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Банком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адресу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hAnsi="Times New Roman" w:eastAsia="Times New Roman" w:cs="Times New Roman"/>
          <w:b w:val="0"/>
          <w:bCs w:val="0"/>
          <w:lang w:eastAsia="ru-RU"/>
        </w:rPr>
        <w:t xml:space="preserve">ООО «СЗ «КОМПАНИЯ СПЕЦФУНДАМЕНТСТРОЙ» </w:t>
      </w:r>
      <w:r>
        <w:rPr>
          <w:rFonts w:ascii="Times New Roman" w:hAnsi="Times New Roman" w:eastAsia="Times New Roman" w:cs="Times New Roman"/>
          <w:b w:val="0"/>
          <w:bCs w:val="0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b w:val="0"/>
          <w:bCs w:val="0"/>
          <w:lang w:eastAsia="ru-RU"/>
        </w:rPr>
        <w:t xml:space="preserve">ОГРН 1194827015261</w:t>
      </w:r>
      <w:r>
        <w:rPr>
          <w:rFonts w:ascii="Times New Roman" w:hAnsi="Times New Roman" w:eastAsia="Times New Roman" w:cs="Times New Roman"/>
          <w:b w:val="0"/>
          <w:bCs w:val="0"/>
          <w:lang w:eastAsia="ru-RU"/>
        </w:rPr>
        <w:t xml:space="preserve">)</w:t>
      </w:r>
      <w:r/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договору долевого участия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/договору уступки по договору долевого участия/договору купли-продажи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подходящих под условия государственной программы, при наличии договоров личного и имущественного страхования (после оформления права собственности).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Информация действительна 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19.01.2024 г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Кредит предоставляется ПАО «Совкомбанк»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(г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енеральная лицензия Банка России №963 от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 декабря 2014 г.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</w:t>
      </w:r>
      <w:r>
        <w:rPr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</w:r>
    </w:p>
    <w:p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Банк принимает решение о заключении кредитного договора на основании всей предоставленной информации в соответствии с требованиями к заемщикам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</w:t>
      </w:r>
      <w:r>
        <w:rPr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</w: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highlight w:val="none"/>
        </w:rPr>
      </w:r>
      <w:r>
        <w:rPr>
          <w:rFonts w:ascii="Times New Roman" w:hAnsi="Times New Roman" w:cs="Times New Roman"/>
          <w:color w:val="000000"/>
          <w:sz w:val="20"/>
          <w:szCs w:val="20"/>
          <w:highlight w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  <w:style w:type="character" w:styleId="1_1053" w:customStyle="1">
    <w:name w:val="Strong"/>
    <w:basedOn w:val="620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jk-smorodina.ru/null" TargetMode="External"/><Relationship Id="rId9" Type="http://schemas.openxmlformats.org/officeDocument/2006/relationships/hyperlink" Target="https://jk-smorodina.ru/nul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Офис Офисинский</cp:lastModifiedBy>
  <cp:revision>2</cp:revision>
  <dcterms:modified xsi:type="dcterms:W3CDTF">2024-01-31T09:14:12Z</dcterms:modified>
</cp:coreProperties>
</file>