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jc w:val="center"/>
        <w:rPr>
          <w:b/>
          <w:bCs/>
          <w:sz w:val="28"/>
          <w:szCs w:val="28"/>
        </w:rPr>
      </w:pPr>
      <w:r>
        <w:rPr>
          <w:noProof/>
        </w:rPr>
        <w:drawing>
          <wp:anchor distT="89535" distB="89535" distL="89535" distR="89535" simplePos="0" relativeHeight="251658252" behindDoc="0" locked="0" layoutInCell="0" hidden="0" allowOverlap="1">
            <wp:simplePos x="0" y="0"/>
            <wp:positionH relativeFrom="page">
              <wp:posOffset>958850</wp:posOffset>
            </wp:positionH>
            <wp:positionV relativeFrom="page">
              <wp:posOffset>899795</wp:posOffset>
            </wp:positionV>
            <wp:extent cx="2796540" cy="851535"/>
            <wp:effectExtent l="0" t="0" r="0" b="0"/>
            <wp:wrapSquare wrapText="bothSides"/>
            <wp:docPr id="12" name="Grafik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8"/>
                    <pic:cNvPicPr>
                      <a:picLocks noChangeAspect="1"/>
                      <a:extLst>
                        <a:ext uri="smNativeData">
                          <sm:smNativeData xmlns:sm="smNativeData" val="SMDATA_14_iQDBahMAAAAlAAAAEQAAAC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AAAAAAAggAAAAAAAAAAAAAAAAAAAAAAAOYFAAAAAAAAAAAAAIkFAAA0EQAAPQUAAAAAAADmBQAAiQUAACgAAAAIAAAAAQAAAAEAAAA="/>
                        </a:ext>
                      </a:extLst>
                    </pic:cNvPicPr>
                  </pic:nvPicPr>
                  <pic:blipFill>
                    <a:blip r:embed="rId8"/>
                    <a:stretch>
                      <a:fillRect/>
                    </a:stretch>
                  </pic:blipFill>
                  <pic:spPr>
                    <a:xfrm>
                      <a:off x="0" y="0"/>
                      <a:ext cx="2796540" cy="851535"/>
                    </a:xfrm>
                    <a:prstGeom prst="rect">
                      <a:avLst/>
                    </a:prstGeom>
                    <a:noFill/>
                    <a:ln w="12700">
                      <a:noFill/>
                    </a:ln>
                  </pic:spPr>
                </pic:pic>
              </a:graphicData>
            </a:graphic>
          </wp:anchor>
        </w:drawing>
      </w:r>
      <w:r>
        <w:rPr>
          <w:noProof/>
        </w:rPr>
        <w:drawing>
          <wp:anchor distT="89535" distB="89535" distL="89535" distR="89535" simplePos="0" relativeHeight="251658253" behindDoc="0" locked="0" layoutInCell="0" hidden="0" allowOverlap="1">
            <wp:simplePos x="0" y="0"/>
            <wp:positionH relativeFrom="page">
              <wp:posOffset>3851275</wp:posOffset>
            </wp:positionH>
            <wp:positionV relativeFrom="page">
              <wp:posOffset>899795</wp:posOffset>
            </wp:positionV>
            <wp:extent cx="2590800" cy="784225"/>
            <wp:effectExtent l="0" t="0" r="0" b="0"/>
            <wp:wrapSquare wrapText="bothSides"/>
            <wp:docPr id="13" name="Grafik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fik9"/>
                    <pic:cNvPicPr>
                      <a:picLocks noChangeAspect="1"/>
                      <a:extLst>
                        <a:ext uri="smNativeData">
                          <sm:smNativeData xmlns:sm="smNativeData" val="SMDATA_14_iQDBahMAAAAlAAAAEQAAAC0BAAAAkAAAAEgAAACQAAAASAAAAAAAAAAB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AAAAAAAggAAAAAAAAAAAAAAAAAAAAAAALEXAAAAAAAAAAAAAIkFAADwDwAA0wQAAAAAAACxFwAAiQUAACgAAAAIAAAAAQAAAAEAAAA="/>
                        </a:ext>
                      </a:extLst>
                    </pic:cNvPicPr>
                  </pic:nvPicPr>
                  <pic:blipFill>
                    <a:blip r:embed="rId9"/>
                    <a:stretch>
                      <a:fillRect/>
                    </a:stretch>
                  </pic:blipFill>
                  <pic:spPr>
                    <a:xfrm>
                      <a:off x="0" y="0"/>
                      <a:ext cx="2590800" cy="784225"/>
                    </a:xfrm>
                    <a:prstGeom prst="rect">
                      <a:avLst/>
                    </a:prstGeom>
                    <a:noFill/>
                    <a:ln w="12700">
                      <a:noFill/>
                    </a:ln>
                  </pic:spPr>
                </pic:pic>
              </a:graphicData>
            </a:graphic>
          </wp:anchor>
        </w:drawing>
      </w:r>
      <w:r>
        <w:rPr>
          <w:b/>
          <w:bCs/>
          <w:sz w:val="28"/>
          <w:szCs w:val="28"/>
        </w:rPr>
      </w:r>
    </w:p>
    <w:p>
      <w:pPr>
        <w:spacing/>
        <w:jc w:val="center"/>
        <w:rPr>
          <w:b/>
          <w:bCs/>
          <w:sz w:val="28"/>
          <w:szCs w:val="28"/>
        </w:rPr>
      </w:pPr>
      <w:r>
        <w:rPr>
          <w:b/>
          <w:bCs/>
          <w:sz w:val="28"/>
          <w:szCs w:val="28"/>
        </w:rPr>
        <w:t xml:space="preserve">2025-26 Annual report of the ICC Russia-Germany </w:t>
      </w:r>
    </w:p>
    <w:p>
      <w:pPr>
        <w:rPr>
          <w:b/>
          <w:bCs/>
          <w:sz w:val="28"/>
          <w:szCs w:val="28"/>
        </w:rPr>
      </w:pPr>
      <w:r>
        <w:rPr>
          <w:b/>
          <w:bCs/>
          <w:sz w:val="28"/>
          <w:szCs w:val="28"/>
        </w:rPr>
      </w:r>
    </w:p>
    <w:p>
      <w:pPr>
        <w:spacing/>
        <w:jc w:val="both"/>
        <w:rPr>
          <w:sz w:val="28"/>
          <w:szCs w:val="28"/>
        </w:rPr>
      </w:pPr>
      <w:r>
        <w:rPr>
          <w:sz w:val="28"/>
          <w:szCs w:val="28"/>
        </w:rPr>
        <w:t>The ICC Board for 2025–26 comprised two section chairs (DGN Axel Richter, RC Hildesheim, D-1800, and PP Jens Strohschneider, RC Moscow Metropol, D-2223) and a secretary (PP Natalia Anisimova Krucker, Rotary e-Club of Russia, D-2223). From 1 July 2026, PP Svetlana Frolova, RC Moscow Metropol, D-2223, will take over as Chair of the Russian Section.</w:t>
      </w:r>
    </w:p>
    <w:p>
      <w:pPr>
        <w:spacing/>
        <w:jc w:val="both"/>
        <w:rPr>
          <w:sz w:val="28"/>
          <w:szCs w:val="28"/>
        </w:rPr>
      </w:pPr>
      <w:r>
        <w:rPr>
          <w:sz w:val="28"/>
          <w:szCs w:val="28"/>
        </w:rPr>
        <w:t xml:space="preserve">Contacts between the sections have been re-established and the website updated. The German section has 14 members from various districts in Germany, and the Russian section has 25 members from various clubs in District 2223 – </w:t>
      </w:r>
    </w:p>
    <w:p>
      <w:pPr>
        <w:spacing/>
        <w:jc w:val="both"/>
        <w:rPr>
          <w:rStyle w:val="char1"/>
          <w:sz w:val="28"/>
          <w:szCs w:val="28"/>
        </w:rPr>
      </w:pPr>
      <w:hyperlink r:id="rId10" w:history="1">
        <w:r>
          <w:rPr>
            <w:rStyle w:val="char1"/>
            <w:sz w:val="28"/>
            <w:szCs w:val="28"/>
          </w:rPr>
          <w:t>https://iccrussiagermany.org/members</w:t>
        </w:r>
      </w:hyperlink>
    </w:p>
    <w:p>
      <w:pPr>
        <w:spacing/>
        <w:jc w:val="both"/>
        <w:rPr>
          <w:sz w:val="28"/>
          <w:szCs w:val="28"/>
        </w:rPr>
      </w:pPr>
      <w:r>
        <w:rPr>
          <w:sz w:val="28"/>
          <w:szCs w:val="28"/>
        </w:rPr>
        <w:t xml:space="preserve">The personal meeting in February 2025 at the </w:t>
      </w:r>
      <w:r>
        <w:rPr>
          <w:i/>
          <w:iCs/>
          <w:sz w:val="28"/>
          <w:szCs w:val="28"/>
        </w:rPr>
        <w:t xml:space="preserve">RI Presidential Peace Conference </w:t>
      </w:r>
      <w:r>
        <w:rPr>
          <w:sz w:val="28"/>
          <w:szCs w:val="28"/>
        </w:rPr>
        <w:t>in Istanbul laid the foundations for further successful work. Since then, monthly online meetings between the two sections have been held, featuring simultaneous interpretation. There is also regular contact with ICCs from various countries. There are plans in place to expand the German section to include Rotarians from Austria and Switzerland (D-A-CH).</w:t>
      </w:r>
    </w:p>
    <w:p>
      <w:pPr>
        <w:spacing/>
        <w:jc w:val="both"/>
        <w:rPr>
          <w:sz w:val="28"/>
          <w:szCs w:val="28"/>
        </w:rPr>
      </w:pPr>
      <w:r>
        <w:rPr>
          <w:sz w:val="28"/>
          <w:szCs w:val="28"/>
        </w:rPr>
        <w:t>The aim of our ICC’s work is to maintain existing links between Rotarians in Germany and Russia and to further develop these as a means of connecting with and strengthening Russian civil society. The focus of our work is on personal meetings, exchange programmes and joint cultural activities.</w:t>
      </w:r>
    </w:p>
    <w:p>
      <w:pPr>
        <w:spacing/>
        <w:jc w:val="both"/>
        <w:rPr>
          <w:sz w:val="28"/>
          <w:szCs w:val="28"/>
        </w:rPr>
      </w:pPr>
      <w:r>
        <w:rPr>
          <w:sz w:val="28"/>
          <w:szCs w:val="28"/>
        </w:rPr>
        <w:br w:type="textWrapping"/>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
        <w:rPr>
          <w:noProof/>
        </w:rPr>
        <w:drawing>
          <wp:inline distT="0" distB="0" distL="0" distR="0">
            <wp:extent cx="3048000" cy="2286000"/>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3"/>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wAAAAHoAAAAAAAAAAAAAAAAAAAAAAAAAAAAAAAAAAAAAAAAAAAAADAEgAAEA4AAAAAAAAAAAAAAAAAACgAAAAIAAAAAQAAAAEAAAA="/>
                        </a:ext>
                      </a:extLst>
                    </pic:cNvPicPr>
                  </pic:nvPicPr>
                  <pic:blipFill>
                    <a:blip r:embed="rId11"/>
                    <a:stretch>
                      <a:fillRect/>
                    </a:stretch>
                  </pic:blipFill>
                  <pic:spPr>
                    <a:xfrm>
                      <a:off x="0" y="0"/>
                      <a:ext cx="3048000" cy="2286000"/>
                    </a:xfrm>
                    <a:prstGeom prst="rect">
                      <a:avLst/>
                    </a:prstGeom>
                    <a:noFill/>
                    <a:ln w="12700">
                      <a:noFill/>
                    </a:ln>
                  </pic:spPr>
                </pic:pic>
              </a:graphicData>
            </a:graphic>
          </wp:inline>
        </w:drawing>
      </w:r>
      <w:r/>
      <w:r>
        <w:rPr>
          <w:sz w:val="28"/>
          <w:szCs w:val="28"/>
        </w:rPr>
      </w:r>
    </w:p>
    <w:p>
      <w:pPr>
        <w:rPr>
          <w:sz w:val="28"/>
          <w:szCs w:val="28"/>
        </w:rPr>
      </w:pPr>
      <w:r>
        <w:rPr>
          <w:sz w:val="28"/>
          <w:szCs w:val="28"/>
        </w:rPr>
        <w:t>With the help of the ICC Germany–Turkey and the ICC Germany–Russia, and under the leadership of the association ’Music for Peace / Musik für den Frieden’ e.V., a Peace Camp involving young people from Germany and Russia was held in Turkey in October 2025. Both ICC sections provided financial support for the project, and ICC representatives were present on site. The highlight was two concerts in Izmir and Bursa, each attended by around 1,000 people.</w:t>
      </w:r>
    </w:p>
    <w:p>
      <w:pPr>
        <w:rPr>
          <w:sz w:val="28"/>
          <w:szCs w:val="28"/>
        </w:rPr>
      </w:pPr>
      <w:r/>
      <w:r>
        <w:rPr>
          <w:noProof/>
        </w:rPr>
        <w:drawing>
          <wp:inline distT="0" distB="0" distL="0" distR="0">
            <wp:extent cx="5760720" cy="432054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0AAAAHoAAAAAAAAAAAAAAAAAAAAAAAAAAAAAAAAAAAAAAAAAAAAABwIwAAlBoAAAAAAAAAAAAAAAAAACgAAAAIAAAAAQAAAAEAAAA="/>
                        </a:ext>
                      </a:extLst>
                    </pic:cNvPicPr>
                  </pic:nvPicPr>
                  <pic:blipFill>
                    <a:blip r:embed="rId12"/>
                    <a:stretch>
                      <a:fillRect/>
                    </a:stretch>
                  </pic:blipFill>
                  <pic:spPr>
                    <a:xfrm>
                      <a:off x="0" y="0"/>
                      <a:ext cx="5760720" cy="4320540"/>
                    </a:xfrm>
                    <a:prstGeom prst="rect">
                      <a:avLst/>
                    </a:prstGeom>
                    <a:noFill/>
                    <a:ln w="12700">
                      <a:noFill/>
                    </a:ln>
                  </pic:spPr>
                </pic:pic>
              </a:graphicData>
            </a:graphic>
          </wp:inline>
        </w:drawing>
      </w:r>
      <w: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noProof/>
        </w:rPr>
        <w:drawing>
          <wp:anchor distT="89535" distB="89535" distL="89535" distR="89535" simplePos="0" relativeHeight="251658249" behindDoc="0" locked="0" layoutInCell="0" hidden="0" allowOverlap="1">
            <wp:simplePos x="0" y="0"/>
            <wp:positionH relativeFrom="margin">
              <wp:posOffset>3448685</wp:posOffset>
            </wp:positionH>
            <wp:positionV relativeFrom="page">
              <wp:posOffset>1009650</wp:posOffset>
            </wp:positionV>
            <wp:extent cx="2247900" cy="2997835"/>
            <wp:effectExtent l="0" t="0" r="0" b="0"/>
            <wp:wrapSquare wrapText="bothSides"/>
            <wp:docPr id="9" name="Grafik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4"/>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BIAAAAAogAAIAAAAAAAAAAAAAAAAQAAADcVAAAAAAAAAAAAADYGAADUDQAAcRIAAAIAAADAGgAANgYAACgAAAAIAAAAAQAAAAEAAAA="/>
                        </a:ext>
                      </a:extLst>
                    </pic:cNvPicPr>
                  </pic:nvPicPr>
                  <pic:blipFill>
                    <a:blip r:embed="rId13"/>
                    <a:stretch>
                      <a:fillRect/>
                    </a:stretch>
                  </pic:blipFill>
                  <pic:spPr>
                    <a:xfrm>
                      <a:off x="0" y="0"/>
                      <a:ext cx="2247900" cy="2997835"/>
                    </a:xfrm>
                    <a:prstGeom prst="rect">
                      <a:avLst/>
                    </a:prstGeom>
                    <a:noFill/>
                    <a:ln w="12700">
                      <a:noFill/>
                    </a:ln>
                  </pic:spPr>
                </pic:pic>
              </a:graphicData>
            </a:graphic>
          </wp:anchor>
        </w:drawing>
      </w:r>
      <w:r>
        <w:rPr>
          <w:sz w:val="28"/>
          <w:szCs w:val="28"/>
        </w:rPr>
        <w:t>On 18 October 2025, Natalia Anisimova Krucker and Axel Richter attended the ICC meeting of the German national committees in Augsburg.</w:t>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spacing w:after="0" w:line="240" w:lineRule="auto"/>
        <w:widowControl w:val="0"/>
        <w:rPr>
          <w:rStyle w:val="char1"/>
          <w:rFonts w:ascii="Arial" w:hAnsi="Arial" w:eastAsia="Arial" w:cs="Arial"/>
          <w:kern w:val="1"/>
          <w:sz w:val="24"/>
          <w:szCs w:val="24"/>
          <w:lang w:val="de-ch"/>
        </w:rPr>
      </w:pPr>
      <w:r>
        <w:rPr>
          <w:noProof/>
        </w:rPr>
        <w:drawing>
          <wp:anchor distT="89535" distB="89535" distL="89535" distR="89535" simplePos="0" relativeHeight="251658250" behindDoc="0" locked="0" layoutInCell="0" hidden="0" allowOverlap="1">
            <wp:simplePos x="0" y="0"/>
            <wp:positionH relativeFrom="page">
              <wp:posOffset>3923030</wp:posOffset>
            </wp:positionH>
            <wp:positionV relativeFrom="page">
              <wp:posOffset>4551045</wp:posOffset>
            </wp:positionV>
            <wp:extent cx="2690495" cy="1514475"/>
            <wp:effectExtent l="0" t="0" r="0" b="0"/>
            <wp:wrapSquare wrapText="bothSides"/>
            <wp:docPr id="10" name="Grafik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5"/>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BkAAAAAogAAIAAAAAAAAAAAAAAAAAAAACIYAAAAAAAAAAAAAP8bAACNEAAAUQkAAAIAAAAiGAAA/xsAACgAAAAIAAAAAQAAAAEAAAA="/>
                        </a:ext>
                      </a:extLst>
                    </pic:cNvPicPr>
                  </pic:nvPicPr>
                  <pic:blipFill>
                    <a:blip r:embed="rId14"/>
                    <a:stretch>
                      <a:fillRect/>
                    </a:stretch>
                  </pic:blipFill>
                  <pic:spPr>
                    <a:xfrm>
                      <a:off x="0" y="0"/>
                      <a:ext cx="2690495" cy="1514475"/>
                    </a:xfrm>
                    <a:prstGeom prst="rect">
                      <a:avLst/>
                    </a:prstGeom>
                    <a:noFill/>
                    <a:ln w="12700">
                      <a:noFill/>
                    </a:ln>
                  </pic:spPr>
                </pic:pic>
              </a:graphicData>
            </a:graphic>
          </wp:anchor>
        </w:drawing>
      </w:r>
      <w:r>
        <w:rPr>
          <w:sz w:val="28"/>
          <w:szCs w:val="28"/>
        </w:rPr>
        <w:t>On 26 November 2025, an online meeting of all ICCs in District 2223, entitled “BUILDING PEACE AND PROMOTING HUMANITARIAN SERVICE”, took place. During this meeting, contact was established with ICC Executive Council Chair Nathalie Huyghebaert (Belgium) – see</w:t>
      </w:r>
      <w:hyperlink r:id="rId15" w:history="1">
        <w:r>
          <w:rPr>
            <w:rStyle w:val="char1"/>
            <w:rFonts w:ascii="Arial" w:hAnsi="Arial" w:eastAsia="Arial" w:cs="Arial"/>
            <w:kern w:val="1"/>
            <w:sz w:val="24"/>
            <w:szCs w:val="24"/>
            <w:lang w:val="de-ch"/>
          </w:rPr>
          <w:t xml:space="preserve"> https://iccrussiagermany.org/news</w:t>
        </w:r>
      </w:hyperlink>
    </w:p>
    <w:p>
      <w:pPr>
        <w:rPr>
          <w:sz w:val="28"/>
          <w:szCs w:val="28"/>
        </w:rPr>
      </w:pPr>
      <w:r>
        <w:rPr>
          <w:sz w:val="28"/>
          <w:szCs w:val="28"/>
        </w:rPr>
        <w:br w:type="textWrapping"/>
        <w:br w:type="textWrapping"/>
        <w:t>In close consultation with the ICC Executive Council, the ‘Music for Peace’ project was nominated for the ICC Peace Award and was shortlisted.</w:t>
      </w:r>
    </w:p>
    <w:p>
      <w:pPr>
        <w:rPr>
          <w:sz w:val="28"/>
          <w:szCs w:val="28"/>
        </w:rPr>
      </w:pPr>
      <w:r>
        <w:rPr>
          <w:sz w:val="28"/>
          <w:szCs w:val="28"/>
        </w:rPr>
        <w:t xml:space="preserve">In May 2026, two representatives from the German section of the ICC attended the District Conference in Moscow, Russia. </w:t>
      </w:r>
    </w:p>
    <w:p>
      <w:pPr>
        <w:rPr>
          <w:sz w:val="28"/>
          <w:szCs w:val="28"/>
        </w:rPr>
      </w:pPr>
      <w:r>
        <w:rPr>
          <w:sz w:val="28"/>
          <w:szCs w:val="28"/>
        </w:rPr>
        <w:t>The conference programme included, amongst other things, a presentation on our ICC and a report on the ‘Music for Peace’ project – both of which met with great interest from the participants.</w:t>
      </w:r>
    </w:p>
    <w:p>
      <w:pPr>
        <w:rPr>
          <w:sz w:val="28"/>
          <w:szCs w:val="28"/>
        </w:rPr>
      </w:pPr>
      <w:r>
        <w:rPr>
          <w:sz w:val="28"/>
          <w:szCs w:val="28"/>
        </w:rPr>
      </w:r>
    </w:p>
    <w:p>
      <w:pPr>
        <w:rPr>
          <w:sz w:val="28"/>
          <w:szCs w:val="28"/>
        </w:rPr>
      </w:pPr>
      <w:r>
        <w:rPr>
          <w:sz w:val="28"/>
          <w:szCs w:val="28"/>
        </w:rPr>
      </w:r>
    </w:p>
    <w:p>
      <w:pPr>
        <w:rPr>
          <w:sz w:val="28"/>
          <w:szCs w:val="28"/>
        </w:rPr>
      </w:pPr>
      <w:r>
        <w:rPr>
          <w:noProof/>
        </w:rPr>
        <w:drawing>
          <wp:anchor distT="89535" distB="89535" distL="89535" distR="89535" simplePos="0" relativeHeight="251658251" behindDoc="0" locked="0" layoutInCell="0" hidden="0" allowOverlap="1">
            <wp:simplePos x="0" y="0"/>
            <wp:positionH relativeFrom="page">
              <wp:posOffset>656590</wp:posOffset>
            </wp:positionH>
            <wp:positionV relativeFrom="page">
              <wp:posOffset>897890</wp:posOffset>
            </wp:positionV>
            <wp:extent cx="2531110" cy="1423035"/>
            <wp:effectExtent l="0" t="0" r="0" b="0"/>
            <wp:wrapSquare wrapText="bothSides"/>
            <wp:docPr id="11" name="Grafik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6"/>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B8AAAAAogAAIAAAAAAAAAAAAAAAAAAAAAoEAAAAAAAAAAAAAIYFAACSDwAAwQgAAAMAAAAKBAAAhgUAACgAAAAIAAAAAQAAAAEAAAA="/>
                        </a:ext>
                      </a:extLst>
                    </pic:cNvPicPr>
                  </pic:nvPicPr>
                  <pic:blipFill>
                    <a:blip r:embed="rId16"/>
                    <a:stretch>
                      <a:fillRect/>
                    </a:stretch>
                  </pic:blipFill>
                  <pic:spPr>
                    <a:xfrm>
                      <a:off x="0" y="0"/>
                      <a:ext cx="2531110" cy="1423035"/>
                    </a:xfrm>
                    <a:prstGeom prst="rect">
                      <a:avLst/>
                    </a:prstGeom>
                    <a:noFill/>
                    <a:ln w="12700">
                      <a:noFill/>
                    </a:ln>
                  </pic:spPr>
                </pic:pic>
              </a:graphicData>
            </a:graphic>
          </wp:anchor>
        </w:drawing>
      </w:r>
      <w:r>
        <w:rPr>
          <w:sz w:val="28"/>
          <w:szCs w:val="28"/>
        </w:rPr>
      </w:r>
    </w:p>
    <w:p>
      <w:pPr>
        <w:rPr>
          <w:sz w:val="28"/>
          <w:szCs w:val="28"/>
        </w:rPr>
      </w:pPr>
      <w:r/>
      <w:r>
        <w:rPr>
          <w:noProof/>
        </w:rPr>
        <w:drawing>
          <wp:inline distT="0" distB="0" distL="0" distR="0">
            <wp:extent cx="1918970" cy="3042920"/>
            <wp:effectExtent l="0" t="0" r="0" b="0"/>
            <wp:docPr id="3"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4"/>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B8AAAAHoAAAAAAAAAAAAAAAAAAAAAAAAAAAAAAAAAAAAAAAAAAAAADOCwAAuBIAAAAAAAAAAAAAAAAAACgAAAAIAAAAAQAAAAEAAAA="/>
                        </a:ext>
                      </a:extLst>
                    </pic:cNvPicPr>
                  </pic:nvPicPr>
                  <pic:blipFill>
                    <a:blip r:embed="rId17"/>
                    <a:stretch>
                      <a:fillRect/>
                    </a:stretch>
                  </pic:blipFill>
                  <pic:spPr>
                    <a:xfrm>
                      <a:off x="0" y="0"/>
                      <a:ext cx="1918970" cy="3042920"/>
                    </a:xfrm>
                    <a:prstGeom prst="rect">
                      <a:avLst/>
                    </a:prstGeom>
                    <a:noFill/>
                    <a:ln w="12700">
                      <a:noFill/>
                    </a:ln>
                  </pic:spPr>
                </pic:pic>
              </a:graphicData>
            </a:graphic>
          </wp:inline>
        </w:drawing>
      </w:r>
      <w:r/>
      <w:r>
        <w:rPr>
          <w:noProof/>
        </w:rPr>
        <w:drawing>
          <wp:inline distT="0" distB="0" distL="0" distR="0">
            <wp:extent cx="3696970" cy="2081530"/>
            <wp:effectExtent l="0" t="0" r="0" b="0"/>
            <wp:docPr id="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5"/>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B8AAAAHoAAAAAAAAAAAAAAAAAAAAAAAAAAAAAAAAAAAAAAAAAAAAAC+FgAAzgwAAAAAAAAAAAAAAAAAACgAAAAIAAAAAQAAAAEAAAA="/>
                        </a:ext>
                      </a:extLst>
                    </pic:cNvPicPr>
                  </pic:nvPicPr>
                  <pic:blipFill>
                    <a:blip r:embed="rId18"/>
                    <a:stretch>
                      <a:fillRect/>
                    </a:stretch>
                  </pic:blipFill>
                  <pic:spPr>
                    <a:xfrm>
                      <a:off x="0" y="0"/>
                      <a:ext cx="3696970" cy="2081530"/>
                    </a:xfrm>
                    <a:prstGeom prst="rect">
                      <a:avLst/>
                    </a:prstGeom>
                    <a:noFill/>
                    <a:ln w="12700">
                      <a:noFill/>
                    </a:ln>
                  </pic:spPr>
                </pic:pic>
              </a:graphicData>
            </a:graphic>
          </wp:inline>
        </w:drawing>
      </w:r>
      <w: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t>On 6 June 2026, representatives of the ICC attended the ‘Löwenherz’ Peace Prize award ceremony for ‘Music for Peace’ in Müllheim.</w:t>
      </w:r>
    </w:p>
    <w:p>
      <w:pPr>
        <w:rPr>
          <w:sz w:val="28"/>
          <w:szCs w:val="28"/>
        </w:rPr>
      </w:pPr>
      <w:r>
        <w:rPr>
          <w:sz w:val="28"/>
          <w:szCs w:val="28"/>
        </w:rPr>
        <w:t>For the visit to Germany planned for autumn 2026, our ICC has already obtained visas for the Russian participants from the German Embassy in Moscow.</w:t>
      </w:r>
    </w:p>
    <w:p>
      <w:pPr>
        <w:rPr>
          <w:sz w:val="28"/>
          <w:szCs w:val="28"/>
        </w:rPr>
      </w:pPr>
      <w:r>
        <w:rPr>
          <w:sz w:val="28"/>
          <w:szCs w:val="28"/>
        </w:rPr>
      </w:r>
    </w:p>
    <w:p>
      <w:pPr>
        <w:rPr>
          <w:sz w:val="28"/>
          <w:szCs w:val="28"/>
        </w:rPr>
      </w:pPr>
      <w:r/>
      <w:r>
        <w:rPr>
          <w:noProof/>
        </w:rPr>
        <w:drawing>
          <wp:inline distT="0" distB="0" distL="0" distR="0">
            <wp:extent cx="4171950" cy="3117850"/>
            <wp:effectExtent l="0" t="0" r="0" b="0"/>
            <wp:docPr id="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1"/>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C4AAAAHoAAAAAAAAAAAAAAAAAAAAAAAAAAAAAAAAAAAAAAAAAAAAACqGQAALhMAAAAAAAAAAAAAAAAAACgAAAAIAAAAAQAAAAEAAAA="/>
                        </a:ext>
                      </a:extLst>
                    </pic:cNvPicPr>
                  </pic:nvPicPr>
                  <pic:blipFill>
                    <a:blip r:embed="rId19"/>
                    <a:stretch>
                      <a:fillRect/>
                    </a:stretch>
                  </pic:blipFill>
                  <pic:spPr>
                    <a:xfrm>
                      <a:off x="0" y="0"/>
                      <a:ext cx="4171950" cy="3117850"/>
                    </a:xfrm>
                    <a:prstGeom prst="rect">
                      <a:avLst/>
                    </a:prstGeom>
                    <a:noFill/>
                    <a:ln w="9525">
                      <a:noFill/>
                    </a:ln>
                  </pic:spPr>
                </pic:pic>
              </a:graphicData>
            </a:graphic>
          </wp:inline>
        </w:drawing>
      </w:r>
      <w: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t>The following additional projects have been carried out or proposed for implementation:</w:t>
      </w:r>
    </w:p>
    <w:p>
      <w:pPr>
        <w:pStyle w:val="para5"/>
        <w:numPr>
          <w:ilvl w:val="0"/>
          <w:numId w:val="6"/>
        </w:numPr>
        <w:ind w:left="780" w:hanging="360"/>
        <w:rPr>
          <w:sz w:val="28"/>
          <w:szCs w:val="28"/>
        </w:rPr>
      </w:pPr>
      <w:r>
        <w:rPr>
          <w:sz w:val="28"/>
          <w:szCs w:val="28"/>
        </w:rPr>
        <w:t>‘We’re Going to Visit’ (joint online meetings for clubs in Germany and Russia) – RC Possenhofen Castle International, D-1841 + RC Vladivostok Territory of Peace, RC Kaliningrad, and REC of Russia, D-2223</w:t>
      </w:r>
    </w:p>
    <w:p>
      <w:pPr>
        <w:pStyle w:val="para5"/>
        <w:numPr>
          <w:ilvl w:val="0"/>
          <w:numId w:val="6"/>
        </w:numPr>
        <w:ind w:left="780" w:hanging="360"/>
        <w:rPr>
          <w:sz w:val="28"/>
          <w:szCs w:val="28"/>
          <w:lang w:val="en-gb"/>
        </w:rPr>
      </w:pPr>
      <w:r>
        <w:rPr>
          <w:sz w:val="28"/>
          <w:szCs w:val="28"/>
          <w:lang w:val="en-gb"/>
        </w:rPr>
        <w:t>‘Rotary Peace Poles’ – organised by RC Vladivostok Territory of Peace</w:t>
      </w:r>
    </w:p>
    <w:p>
      <w:pPr>
        <w:pStyle w:val="para5"/>
        <w:numPr>
          <w:ilvl w:val="0"/>
          <w:numId w:val="6"/>
        </w:numPr>
        <w:ind w:left="780" w:hanging="360"/>
        <w:rPr>
          <w:sz w:val="28"/>
          <w:szCs w:val="28"/>
        </w:rPr>
      </w:pPr>
      <w:r>
        <w:rPr>
          <w:sz w:val="28"/>
          <w:szCs w:val="28"/>
        </w:rPr>
        <w:t>“Welcome to Kaliningrad” – Family Exchange for visitors from Germany, proposed by RC Kaliningrad</w:t>
      </w:r>
    </w:p>
    <w:p>
      <w:pPr>
        <w:pStyle w:val="para5"/>
        <w:numPr>
          <w:ilvl w:val="0"/>
          <w:numId w:val="6"/>
        </w:numPr>
        <w:ind w:left="780" w:hanging="360"/>
        <w:rPr>
          <w:sz w:val="28"/>
          <w:szCs w:val="28"/>
        </w:rPr>
      </w:pPr>
      <w:r>
        <w:rPr>
          <w:sz w:val="28"/>
          <w:szCs w:val="28"/>
        </w:rPr>
        <w:t>Planned visit in 2027 by RC Togliatti to RC Wolfsburg, District 1800</w:t>
      </w:r>
    </w:p>
    <w:p>
      <w:pPr>
        <w:pStyle w:val="para5"/>
        <w:numPr>
          <w:ilvl w:val="0"/>
          <w:numId w:val="6"/>
        </w:numPr>
        <w:ind w:left="780" w:hanging="360"/>
        <w:rPr>
          <w:sz w:val="28"/>
          <w:szCs w:val="28"/>
        </w:rPr>
      </w:pPr>
      <w:r>
        <w:rPr>
          <w:sz w:val="28"/>
          <w:szCs w:val="28"/>
        </w:rPr>
        <w:t>Matching Russian Rotarians, who are on business in Berlin, with local Rotary clubs</w:t>
      </w:r>
    </w:p>
    <w:p>
      <w:pPr>
        <w:pStyle w:val="para5"/>
        <w:numPr>
          <w:ilvl w:val="0"/>
          <w:numId w:val="6"/>
        </w:numPr>
        <w:ind w:left="780" w:hanging="360"/>
        <w:rPr>
          <w:sz w:val="28"/>
          <w:szCs w:val="28"/>
        </w:rPr>
      </w:pPr>
      <w:r>
        <w:rPr>
          <w:sz w:val="28"/>
          <w:szCs w:val="28"/>
        </w:rPr>
        <w:t>Medical advice and referral services for Russian Rotarians</w:t>
      </w:r>
    </w:p>
    <w:p>
      <w:pPr>
        <w:pStyle w:val="para5"/>
        <w:numPr>
          <w:ilvl w:val="0"/>
          <w:numId w:val="6"/>
        </w:numPr>
        <w:ind w:left="780" w:hanging="360"/>
        <w:rPr>
          <w:sz w:val="28"/>
          <w:szCs w:val="28"/>
        </w:rPr>
      </w:pPr>
      <w:r>
        <w:rPr>
          <w:sz w:val="28"/>
          <w:szCs w:val="28"/>
        </w:rPr>
        <w:t>Support for business links between Germany and Russia at Rotary level</w:t>
      </w:r>
    </w:p>
    <w:p>
      <w:pPr>
        <w:pStyle w:val="para5"/>
        <w:numPr>
          <w:ilvl w:val="0"/>
          <w:numId w:val="6"/>
        </w:numPr>
        <w:ind w:left="780" w:hanging="360"/>
        <w:rPr>
          <w:sz w:val="28"/>
          <w:szCs w:val="28"/>
        </w:rPr>
      </w:pPr>
      <w:r>
        <w:rPr>
          <w:sz w:val="28"/>
          <w:szCs w:val="28"/>
        </w:rPr>
        <w:t>Preparatory work has begun on extending the Swiss ‘Mine-Ex’ project (aid for landmine victims) to Russia – an initiative by RC Bad Ragaz, D-2000; brief information about the project has been sent in text and video format to various organisations and NGOs in Russia.</w:t>
      </w:r>
    </w:p>
    <w:p>
      <w:pPr>
        <w:pStyle w:val="para5"/>
        <w:numPr>
          <w:ilvl w:val="0"/>
          <w:numId w:val="4"/>
        </w:numPr>
        <w:ind w:left="720" w:hanging="360"/>
        <w:rPr>
          <w:rFonts w:ascii="Arial" w:hAnsi="Arial" w:eastAsia="SimSun" w:cs="Arial"/>
          <w:b/>
          <w:bCs/>
          <w:kern w:val="1"/>
          <w:sz w:val="26"/>
          <w:szCs w:val="26"/>
          <w:lang w:val="de-ch"/>
        </w:rPr>
      </w:pPr>
      <w:r>
        <w:rPr>
          <w:sz w:val="28"/>
          <w:szCs w:val="28"/>
        </w:rPr>
        <w:t xml:space="preserve">Initiated by RC Krasnodar, D-2223, preparations are underway for the International Rotarian Environmental Conference “The Value of Water” (to be held online in autumn 2026) </w:t>
      </w:r>
    </w:p>
    <w:p>
      <w:pPr>
        <w:pStyle w:val="para5"/>
        <w:numPr>
          <w:ilvl w:val="0"/>
          <w:numId w:val="7"/>
        </w:numPr>
        <w:ind w:left="720" w:hanging="360"/>
        <w:rPr>
          <w:sz w:val="28"/>
          <w:szCs w:val="28"/>
        </w:rPr>
      </w:pPr>
      <w:r>
        <w:rPr>
          <w:sz w:val="28"/>
          <w:szCs w:val="28"/>
        </w:rPr>
        <w:t>Preparations are underway for a joint project, ‘Sound of Mountains’, with Rotarians from Austria</w:t>
      </w:r>
    </w:p>
    <w:p>
      <w:pPr>
        <w:pStyle w:val="para5"/>
        <w:ind w:left="0"/>
        <w:rPr>
          <w:sz w:val="28"/>
          <w:szCs w:val="28"/>
        </w:rPr>
      </w:pPr>
      <w:r>
        <w:rPr>
          <w:sz w:val="28"/>
          <w:szCs w:val="28"/>
        </w:rPr>
      </w:r>
    </w:p>
    <w:p>
      <w:pPr>
        <w:rPr>
          <w:sz w:val="28"/>
          <w:szCs w:val="28"/>
        </w:rPr>
      </w:pPr>
      <w:r>
        <w:rPr>
          <w:sz w:val="28"/>
          <w:szCs w:val="28"/>
        </w:rPr>
        <w:t>The ICC’s activities have been regularly reported on in Rotary media in Russia and Germany. The publications are prepared in collaboration between the two sections – see examples below.</w:t>
      </w:r>
    </w:p>
    <w:p>
      <w:pPr>
        <w:rPr>
          <w:sz w:val="28"/>
          <w:szCs w:val="28"/>
        </w:rPr>
      </w:pPr>
      <w:r>
        <w:rPr>
          <w:sz w:val="28"/>
          <w:szCs w:val="28"/>
        </w:rPr>
      </w:r>
    </w:p>
    <w:p>
      <w:pPr>
        <w:rPr>
          <w:sz w:val="28"/>
          <w:szCs w:val="28"/>
        </w:rPr>
      </w:pPr>
      <w:hyperlink r:id="rId20" w:history="1">
        <w:r>
          <w:rPr>
            <w:rStyle w:val="char1"/>
            <w:sz w:val="28"/>
            <w:szCs w:val="28"/>
          </w:rPr>
          <w:t>https://rotary.de/online/detail/internationales-camp-setzt-zeichen-der-versaendigung</w:t>
        </w:r>
      </w:hyperlink>
      <w:r>
        <w:rPr>
          <w:sz w:val="28"/>
          <w:szCs w:val="28"/>
        </w:rPr>
        <w:t xml:space="preserve"> </w:t>
      </w:r>
      <w:r>
        <w:rPr>
          <w:sz w:val="28"/>
          <w:szCs w:val="28"/>
        </w:rPr>
      </w:r>
    </w:p>
    <w:p>
      <w:pPr>
        <w:rPr>
          <w:rStyle w:val="char1"/>
          <w:sz w:val="28"/>
          <w:szCs w:val="28"/>
        </w:rPr>
      </w:pPr>
      <w:hyperlink r:id="rId21" w:history="1">
        <w:r>
          <w:rPr>
            <w:rStyle w:val="char1"/>
            <w:sz w:val="28"/>
            <w:szCs w:val="28"/>
          </w:rPr>
          <w:t>https://rotary.de/online/detail/d1930-musikfuerdenfrieden-preis</w:t>
        </w:r>
      </w:hyperlink>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sz w:val="28"/>
          <w:szCs w:val="28"/>
        </w:rPr>
      </w:r>
    </w:p>
    <w:p>
      <w:pPr>
        <w:rPr>
          <w:sz w:val="28"/>
          <w:szCs w:val="28"/>
        </w:rPr>
      </w:pPr>
      <w:r>
        <w:rPr>
          <w:noProof/>
        </w:rPr>
        <w:drawing>
          <wp:anchor distT="89535" distB="89535" distL="89535" distR="89535" simplePos="0" relativeHeight="251658246" behindDoc="0" locked="0" layoutInCell="0" hidden="0" allowOverlap="1">
            <wp:simplePos x="0" y="0"/>
            <wp:positionH relativeFrom="page">
              <wp:posOffset>904240</wp:posOffset>
            </wp:positionH>
            <wp:positionV relativeFrom="page">
              <wp:posOffset>912495</wp:posOffset>
            </wp:positionV>
            <wp:extent cx="1621790" cy="2084070"/>
            <wp:effectExtent l="0" t="0" r="0" b="0"/>
            <wp:wrapSquare wrapText="bothSides"/>
            <wp:docPr id="6" name="Grafi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1"/>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FUAAAAAogAAIAAAAAAAAAAAAAAAAAAAAJAFAAAAAAAAAAAAAJ0FAAD6CQAA0gwAAAYAAACQBQAAnQUAACgAAAAIAAAAAQAAAAEAAAA="/>
                        </a:ext>
                      </a:extLst>
                    </pic:cNvPicPr>
                  </pic:nvPicPr>
                  <pic:blipFill>
                    <a:blip r:embed="rId22"/>
                    <a:stretch>
                      <a:fillRect/>
                    </a:stretch>
                  </pic:blipFill>
                  <pic:spPr>
                    <a:xfrm>
                      <a:off x="0" y="0"/>
                      <a:ext cx="1621790" cy="2084070"/>
                    </a:xfrm>
                    <a:prstGeom prst="rect">
                      <a:avLst/>
                    </a:prstGeom>
                    <a:noFill/>
                    <a:ln w="12700">
                      <a:noFill/>
                    </a:ln>
                  </pic:spPr>
                </pic:pic>
              </a:graphicData>
            </a:graphic>
          </wp:anchor>
        </w:drawing>
      </w:r>
      <w:r>
        <w:rPr>
          <w:noProof/>
        </w:rPr>
        <w:drawing>
          <wp:anchor distT="89535" distB="89535" distL="89535" distR="89535" simplePos="0" relativeHeight="251658247" behindDoc="0" locked="0" layoutInCell="0" hidden="0" allowOverlap="1">
            <wp:simplePos x="0" y="0"/>
            <wp:positionH relativeFrom="page">
              <wp:posOffset>2603500</wp:posOffset>
            </wp:positionH>
            <wp:positionV relativeFrom="page">
              <wp:posOffset>912495</wp:posOffset>
            </wp:positionV>
            <wp:extent cx="1739265" cy="2075815"/>
            <wp:effectExtent l="0" t="0" r="0" b="0"/>
            <wp:wrapSquare wrapText="bothSides"/>
            <wp:docPr id="7" name="Grafi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2"/>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FUAAAAAogAAIAAAAAAAAAAAAAAAAAAAAAQQAAAAAAAAAAAAAJ0FAACzCgAAxQwAAAYAAAAEEAAAnQUAACgAAAAIAAAAAQAAAAEAAAA="/>
                        </a:ext>
                      </a:extLst>
                    </pic:cNvPicPr>
                  </pic:nvPicPr>
                  <pic:blipFill>
                    <a:blip r:embed="rId23"/>
                    <a:stretch>
                      <a:fillRect/>
                    </a:stretch>
                  </pic:blipFill>
                  <pic:spPr>
                    <a:xfrm>
                      <a:off x="0" y="0"/>
                      <a:ext cx="1739265" cy="2075815"/>
                    </a:xfrm>
                    <a:prstGeom prst="rect">
                      <a:avLst/>
                    </a:prstGeom>
                    <a:noFill/>
                    <a:ln w="12700">
                      <a:noFill/>
                    </a:ln>
                  </pic:spPr>
                </pic:pic>
              </a:graphicData>
            </a:graphic>
          </wp:anchor>
        </w:drawing>
      </w:r>
      <w:r>
        <w:rPr>
          <w:noProof/>
        </w:rPr>
        <w:drawing>
          <wp:anchor distT="89535" distB="89535" distL="89535" distR="89535" simplePos="0" relativeHeight="251658248" behindDoc="0" locked="0" layoutInCell="0" hidden="0" allowOverlap="1">
            <wp:simplePos x="0" y="0"/>
            <wp:positionH relativeFrom="page">
              <wp:posOffset>4490085</wp:posOffset>
            </wp:positionH>
            <wp:positionV relativeFrom="page">
              <wp:posOffset>912495</wp:posOffset>
            </wp:positionV>
            <wp:extent cx="1605280" cy="2075815"/>
            <wp:effectExtent l="0" t="0" r="0" b="0"/>
            <wp:wrapSquare wrapText="bothSides"/>
            <wp:docPr id="8" name="Grafik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3"/>
                    <pic:cNvPicPr>
                      <a:picLocks noChangeAspect="1"/>
                      <a:extLst>
                        <a:ext uri="smNativeData">
                          <sm:smNativeData xmlns:sm="smNativeData" val="SMDATA_14_iQDBa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FUAAAAAogAAIAAAAAAAAAAAAAAAAAAAAJ8bAAAAAAAAAAAAAJ0FAADgCQAAxQwAAAYAAACfGwAAnQUAACgAAAAIAAAAAQAAAAEAAAA="/>
                        </a:ext>
                      </a:extLst>
                    </pic:cNvPicPr>
                  </pic:nvPicPr>
                  <pic:blipFill>
                    <a:blip r:embed="rId24"/>
                    <a:stretch>
                      <a:fillRect/>
                    </a:stretch>
                  </pic:blipFill>
                  <pic:spPr>
                    <a:xfrm>
                      <a:off x="0" y="0"/>
                      <a:ext cx="1605280" cy="2075815"/>
                    </a:xfrm>
                    <a:prstGeom prst="rect">
                      <a:avLst/>
                    </a:prstGeom>
                    <a:noFill/>
                    <a:ln w="12700">
                      <a:noFill/>
                    </a:ln>
                  </pic:spPr>
                </pic:pic>
              </a:graphicData>
            </a:graphic>
          </wp:anchor>
        </w:drawing>
      </w:r>
      <w:r>
        <w:rPr>
          <w:sz w:val="28"/>
          <w:szCs w:val="28"/>
        </w:rPr>
        <w:br w:type="textWrapping"/>
      </w:r>
    </w:p>
    <w:p>
      <w:pPr>
        <w:rPr>
          <w:sz w:val="28"/>
          <w:szCs w:val="28"/>
        </w:rPr>
      </w:pPr>
      <w:r>
        <w:rPr>
          <w:sz w:val="28"/>
          <w:szCs w:val="28"/>
        </w:rPr>
        <w:t>Axel Richter, RC Hildesheim, DGE 2027/28, District 1800</w:t>
      </w:r>
    </w:p>
    <w:p>
      <w:pPr>
        <w:rPr>
          <w:sz w:val="28"/>
          <w:szCs w:val="28"/>
        </w:rPr>
      </w:pPr>
      <w:r>
        <w:rPr>
          <w:sz w:val="28"/>
          <w:szCs w:val="28"/>
        </w:rPr>
        <w:t>Chair of the German section of the ICC Germany-Russia</w:t>
      </w:r>
    </w:p>
    <w:p>
      <w:pPr>
        <w:rPr>
          <w:sz w:val="28"/>
          <w:szCs w:val="28"/>
        </w:rPr>
      </w:pPr>
      <w:r>
        <w:rPr>
          <w:sz w:val="28"/>
          <w:szCs w:val="28"/>
        </w:rPr>
        <w:t>Jens Strohschneider, RC Moscow Metropol, District 2223</w:t>
      </w:r>
    </w:p>
    <w:p>
      <w:pPr>
        <w:rPr>
          <w:sz w:val="28"/>
          <w:szCs w:val="28"/>
        </w:rPr>
      </w:pPr>
      <w:r>
        <w:rPr>
          <w:sz w:val="28"/>
          <w:szCs w:val="28"/>
        </w:rPr>
        <w:t>Chair of the Russian Section of the ICC Russia-Germany until 07/2026</w:t>
      </w:r>
    </w:p>
    <w:p>
      <w:pPr>
        <w:rPr>
          <w:sz w:val="28"/>
          <w:szCs w:val="28"/>
        </w:rPr>
      </w:pPr>
      <w:r>
        <w:rPr>
          <w:sz w:val="28"/>
          <w:szCs w:val="28"/>
        </w:rPr>
        <w:t>Svetlana Frolova, RC Moscow Metropol, District 2223</w:t>
      </w:r>
    </w:p>
    <w:p>
      <w:pPr>
        <w:rPr>
          <w:sz w:val="28"/>
          <w:szCs w:val="28"/>
        </w:rPr>
      </w:pPr>
      <w:r>
        <w:rPr>
          <w:sz w:val="28"/>
          <w:szCs w:val="28"/>
        </w:rPr>
        <w:t>Chair of the Russian section of the ICC Russia-Germany from 07/2026</w:t>
      </w:r>
    </w:p>
    <w:p>
      <w:pPr>
        <w:rPr>
          <w:sz w:val="28"/>
          <w:szCs w:val="28"/>
        </w:rPr>
      </w:pPr>
      <w:r>
        <w:rPr>
          <w:sz w:val="28"/>
          <w:szCs w:val="28"/>
          <w:lang w:val="en-gb"/>
        </w:rPr>
        <w:t>Natalia Anisimova Krucker Wil/CH, E-Club of Russia, ICC-DEU-RUS Secretary</w:t>
      </w:r>
      <w:r>
        <w:rPr>
          <w:sz w:val="28"/>
          <w:szCs w:val="28"/>
        </w:rPr>
        <w:br w:type="textWrapping"/>
      </w:r>
    </w:p>
    <w:p>
      <w:pPr>
        <w:rPr>
          <w:sz w:val="28"/>
          <w:szCs w:val="28"/>
          <w:lang w:val="en-gb"/>
        </w:rPr>
      </w:pPr>
      <w:r>
        <w:rPr>
          <w:sz w:val="28"/>
          <w:szCs w:val="28"/>
          <w:lang w:val="en-gb"/>
        </w:rPr>
      </w:r>
    </w:p>
    <w:p>
      <w:pPr>
        <w:rPr>
          <w:sz w:val="28"/>
          <w:szCs w:val="28"/>
          <w:lang w:val="en-gb"/>
        </w:rPr>
      </w:pPr>
      <w:r>
        <w:rPr>
          <w:sz w:val="28"/>
          <w:szCs w:val="28"/>
          <w:lang w:val="en-gb"/>
        </w:rPr>
      </w:r>
    </w:p>
    <w:p>
      <w:pPr>
        <w:rPr>
          <w:sz w:val="28"/>
          <w:szCs w:val="28"/>
          <w:lang w:val="en-gb"/>
        </w:rPr>
      </w:pPr>
      <w:r>
        <w:rPr>
          <w:sz w:val="28"/>
          <w:szCs w:val="28"/>
          <w:lang w:val="en-gb"/>
        </w:rPr>
        <w:tab/>
        <w:tab/>
        <w:tab/>
        <w:tab/>
        <w:tab/>
        <w:tab/>
        <w:tab/>
        <w:tab/>
        <w:tab/>
        <w:t>Hildesheim 24.06.2026</w:t>
      </w:r>
    </w:p>
    <w:sectPr>
      <w:footnotePr>
        <w:pos w:val="pageBottom"/>
        <w:numFmt w:val="decimal"/>
        <w:numStart w:val="1"/>
        <w:numRestart w:val="continuous"/>
      </w:footnotePr>
      <w:endnotePr>
        <w:pos w:val="docEnd"/>
        <w:numFmt w:val="decimal"/>
        <w:numStart w:val="1"/>
        <w:numRestart w:val="continuous"/>
      </w:endnotePr>
      <w:type w:val="nextPage"/>
      <w:pgSz w:h="16838" w:w="11906"/>
      <w:pgMar w:left="1417" w:top="1417" w:right="1417" w:bottom="1134" w:header="0" w:footer="0"/>
      <w:paperSrc w:first="0" w:other="0" a="0" b="0"/>
      <w:pgNumType w:fmt="decimal"/>
      <w:tmGutter w:val="3"/>
      <w:mirrorMargins w:val="0"/>
      <w:tmSection w:h="-2"/>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Symbol">
    <w:panose1 w:val="05050102010706020507"/>
    <w:charset w:val="02"/>
    <w:family w:val="roman"/>
    <w:pitch w:val="default"/>
  </w:font>
  <w:font w:name="Courier New">
    <w:panose1 w:val="02070309020205020404"/>
    <w:charset w:val="00"/>
    <w:family w:val="modern"/>
    <w:pitch w:val="default"/>
  </w:font>
  <w:font w:name="Wingdings">
    <w:panose1 w:val="05000000000000000000"/>
    <w:charset w:val="02"/>
    <w:family w:val="auto"/>
    <w:pitch w:val="default"/>
  </w:font>
  <w:font w:name="Calibri">
    <w:panose1 w:val="020F0502020204030204"/>
    <w:charset w:val="00"/>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Nummerierungsliste 2"/>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2">
    <w:multiLevelType w:val="hybridMultilevel"/>
    <w:name w:val="Nummerierungsliste 4"/>
    <w:lvl w:ilvl="0">
      <w:start w:val="0"/>
      <w:numFmt w:val="none"/>
      <w:suff w:val="tab"/>
      <w:lvlText w:val=""/>
      <w:lvlJc w:val="left"/>
      <w:pPr>
        <w:ind w:left="0" w:hanging="0"/>
      </w:pPr>
    </w:lvl>
    <w:lvl w:ilvl="1">
      <w:start w:val="0"/>
      <w:numFmt w:val="none"/>
      <w:suff w:val="tab"/>
      <w:lvlText w:val=""/>
      <w:lvlJc w:val="left"/>
      <w:pPr>
        <w:ind w:left="0" w:hanging="0"/>
      </w:pPr>
    </w:lvl>
    <w:lvl w:ilvl="2">
      <w:start w:val="0"/>
      <w:numFmt w:val="none"/>
      <w:suff w:val="tab"/>
      <w:lvlText w:val=""/>
      <w:lvlJc w:val="left"/>
      <w:pPr>
        <w:ind w:left="0" w:hanging="0"/>
      </w:pPr>
    </w:lvl>
    <w:lvl w:ilvl="3">
      <w:start w:val="0"/>
      <w:numFmt w:val="none"/>
      <w:suff w:val="tab"/>
      <w:lvlText w:val=""/>
      <w:lvlJc w:val="left"/>
      <w:pPr>
        <w:ind w:left="0" w:hanging="0"/>
      </w:pPr>
    </w:lvl>
    <w:lvl w:ilvl="4">
      <w:start w:val="0"/>
      <w:numFmt w:val="none"/>
      <w:suff w:val="tab"/>
      <w:lvlText w:val=""/>
      <w:lvlJc w:val="left"/>
      <w:pPr>
        <w:ind w:left="0" w:hanging="0"/>
      </w:pPr>
    </w:lvl>
    <w:lvl w:ilvl="5">
      <w:start w:val="0"/>
      <w:numFmt w:val="none"/>
      <w:suff w:val="tab"/>
      <w:lvlText w:val=""/>
      <w:lvlJc w:val="left"/>
      <w:pPr>
        <w:ind w:left="0" w:hanging="0"/>
      </w:pPr>
    </w:lvl>
    <w:lvl w:ilvl="6">
      <w:start w:val="0"/>
      <w:numFmt w:val="none"/>
      <w:suff w:val="tab"/>
      <w:lvlText w:val=""/>
      <w:lvlJc w:val="left"/>
      <w:pPr>
        <w:ind w:left="0" w:hanging="0"/>
      </w:pPr>
    </w:lvl>
    <w:lvl w:ilvl="7">
      <w:start w:val="0"/>
      <w:numFmt w:val="none"/>
      <w:suff w:val="tab"/>
      <w:lvlText w:val=""/>
      <w:lvlJc w:val="left"/>
      <w:pPr>
        <w:ind w:left="0" w:hanging="0"/>
      </w:pPr>
    </w:lvl>
    <w:lvl w:ilvl="8">
      <w:start w:val="0"/>
      <w:numFmt w:val="none"/>
      <w:suff w:val="tab"/>
      <w:lvlText w:val=""/>
      <w:lvlJc w:val="left"/>
      <w:pPr>
        <w:ind w:left="0" w:hanging="0"/>
      </w:pPr>
    </w:lvl>
  </w:abstractNum>
  <w:abstractNum w:abstractNumId="3">
    <w:multiLevelType w:val="hybridMultilevel"/>
    <w:name w:val="Nummerierungsliste 1"/>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4">
    <w:multiLevelType w:val="hybridMultilevel"/>
    <w:name w:val="Nummerierungsliste 5"/>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5">
    <w:multiLevelType w:val="hybridMultilevel"/>
    <w:name w:val="Nummerierungsliste 3"/>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6">
    <w:multiLevelType w:val="hybridMultilevel"/>
    <w:name w:val="Nummerierungsliste 6"/>
    <w:lvl w:ilvl="0">
      <w:numFmt w:val="bullet"/>
      <w:suff w:val="tab"/>
      <w:lvlText w:val=""/>
      <w:lvlJc w:val="left"/>
      <w:pPr>
        <w:ind w:left="420" w:hanging="0"/>
      </w:pPr>
      <w:rPr>
        <w:rFonts w:ascii="Symbol" w:hAnsi="Symbol"/>
      </w:rPr>
    </w:lvl>
    <w:lvl w:ilvl="1">
      <w:numFmt w:val="bullet"/>
      <w:suff w:val="tab"/>
      <w:lvlText w:val=""/>
      <w:lvlJc w:val="left"/>
      <w:pPr>
        <w:ind w:left="1140" w:hanging="0"/>
      </w:pPr>
      <w:rPr>
        <w:rFonts w:ascii="Symbol" w:hAnsi="Symbol"/>
      </w:rPr>
    </w:lvl>
    <w:lvl w:ilvl="2">
      <w:numFmt w:val="bullet"/>
      <w:suff w:val="tab"/>
      <w:lvlText w:val=""/>
      <w:lvlJc w:val="left"/>
      <w:pPr>
        <w:ind w:left="1860" w:hanging="0"/>
      </w:pPr>
      <w:rPr>
        <w:rFonts w:ascii="Wingdings" w:hAnsi="Wingdings" w:eastAsia="Wingdings" w:cs="Wingdings"/>
      </w:rPr>
    </w:lvl>
    <w:lvl w:ilvl="3">
      <w:numFmt w:val="bullet"/>
      <w:suff w:val="tab"/>
      <w:lvlText w:val=""/>
      <w:lvlJc w:val="left"/>
      <w:pPr>
        <w:ind w:left="2580" w:hanging="0"/>
      </w:pPr>
      <w:rPr>
        <w:rFonts w:ascii="Symbol" w:hAnsi="Symbol"/>
      </w:rPr>
    </w:lvl>
    <w:lvl w:ilvl="4">
      <w:numFmt w:val="bullet"/>
      <w:suff w:val="tab"/>
      <w:lvlText w:val="o"/>
      <w:lvlJc w:val="left"/>
      <w:pPr>
        <w:ind w:left="3300" w:hanging="0"/>
      </w:pPr>
      <w:rPr>
        <w:rFonts w:ascii="Courier New" w:hAnsi="Courier New" w:cs="Courier New"/>
      </w:rPr>
    </w:lvl>
    <w:lvl w:ilvl="5">
      <w:numFmt w:val="bullet"/>
      <w:suff w:val="tab"/>
      <w:lvlText w:val=""/>
      <w:lvlJc w:val="left"/>
      <w:pPr>
        <w:ind w:left="4020" w:hanging="0"/>
      </w:pPr>
      <w:rPr>
        <w:rFonts w:ascii="Wingdings" w:hAnsi="Wingdings" w:eastAsia="Wingdings" w:cs="Wingdings"/>
      </w:rPr>
    </w:lvl>
    <w:lvl w:ilvl="6">
      <w:numFmt w:val="bullet"/>
      <w:suff w:val="tab"/>
      <w:lvlText w:val=""/>
      <w:lvlJc w:val="left"/>
      <w:pPr>
        <w:ind w:left="4740" w:hanging="0"/>
      </w:pPr>
      <w:rPr>
        <w:rFonts w:ascii="Symbol" w:hAnsi="Symbol"/>
      </w:rPr>
    </w:lvl>
    <w:lvl w:ilvl="7">
      <w:numFmt w:val="bullet"/>
      <w:suff w:val="tab"/>
      <w:lvlText w:val="o"/>
      <w:lvlJc w:val="left"/>
      <w:pPr>
        <w:ind w:left="5460" w:hanging="0"/>
      </w:pPr>
      <w:rPr>
        <w:rFonts w:ascii="Courier New" w:hAnsi="Courier New" w:cs="Courier New"/>
      </w:rPr>
    </w:lvl>
    <w:lvl w:ilvl="8">
      <w:numFmt w:val="bullet"/>
      <w:suff w:val="tab"/>
      <w:lvlText w:val=""/>
      <w:lvlJc w:val="left"/>
      <w:pPr>
        <w:ind w:left="6180" w:hanging="0"/>
      </w:pPr>
      <w:rPr>
        <w:rFonts w:ascii="Wingdings" w:hAnsi="Wingdings" w:eastAsia="Wingdings" w:cs="Wingdings"/>
      </w:rPr>
    </w:lvl>
  </w:abstractNum>
  <w:abstractNum w:abstractNumId="7">
    <w:multiLevelType w:val="hybridMultilevel"/>
    <w:name w:val="Nummerierungsliste 7"/>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8">
    <w:multiLevelType w:val="singleLevel"/>
    <w:name w:val="Bullet 4"/>
    <w:lvl w:ilvl="0">
      <w:numFmt w:val="bullet"/>
      <w:suff w:val="tab"/>
      <w:lvlText w:val="•"/>
      <w:lvlJc w:val="left"/>
      <w:pPr>
        <w:ind w:left="0" w:hanging="0"/>
      </w:pPr>
      <w:rPr>
        <w:rFonts w:ascii="Times New Roman" w:hAnsi="Times New Roman" w:eastAsia="Times New Roman" w:cs="Times New Roman"/>
        <w:smallCaps/>
        <w:color w:val="auto"/>
        <w:spacing w:val="-1092"/>
        <w:w w:val="300"/>
        <w:u w:color="auto" w:val="single"/>
        <w:shd w:val="clear" w:fill="auto"/>
        <w:position w:val="-131"/>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0"/>
  <w:doNotShadeFormData w:val="0"/>
  <w:captions>
    <w:caption w:name="Tabelle" w:pos="below" w:numFmt="decimal"/>
    <w:caption w:name="Abbildung" w:pos="below" w:numFmt="decimal"/>
    <w:caption w:name="Grafik" w:pos="below" w:numFmt="decimal"/>
  </w:captions>
  <w:drawingGridHorizontalSpacing w:val="283"/>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compatSetting w:name="compatibilityMode" w:uri="http://schemas.microsoft.com/office/word" w:val="15"/>
  <w:shapeDefaults>
    <o:shapedefaults v:ext="edit" spidmax="1026"/>
    <o:shapelayout v:ext="edit">
      <o:rules v:ext="edit"/>
    </o:shapelayout>
  </w:shapeDefaults>
  <w:tmPrefOne w:val="17"/>
  <w:tmPrefTwo w:val="1"/>
  <w:tmFmtPref w:val="55065707"/>
  <w:tmCommentsPr>
    <w:tmCommentsPlace w:val="0"/>
    <w:tmCommentsWidth w:val="3119"/>
    <w:tmCommentsColor w:val="-1"/>
  </w:tmCommentsPr>
  <w:tmReviewPr>
    <w:tmReviewEnabled w:val="0"/>
    <w:tmReviewShow w:val="1"/>
    <w:tmReviewPrint w:val="0"/>
    <w:tmRevisionNum w:val="6"/>
    <w:tmReviewMarkIns w:val="4"/>
    <w:tmReviewColorIns w:val="-1"/>
    <w:tmReviewMarkDel w:val="6"/>
    <w:tmReviewColorDel w:val="-1"/>
    <w:tmReviewMarkFmt w:val="1"/>
    <w:tmReviewColorFmt w:val="-1"/>
    <w:tmReviewMarkLn w:val="1"/>
    <w:tmReviewColorLn w:val="0"/>
    <w:tmReviewToolTip w:val="0"/>
  </w:tmReviewPr>
  <w:tmLastPos>
    <w:tmLastPosPage w:val="6"/>
    <w:tmLastPosSelect w:val="0"/>
    <w:tmLastPosFrameIdx w:val="0"/>
    <w:tmLastPosCaret>
      <w:tmLastPosPgfIdx w:val="86"/>
      <w:tmLastPosIdx w:val="0"/>
    </w:tmLastPosCaret>
    <w:tmLastPosAnchor>
      <w:tmLastPosPgfIdx w:val="0"/>
      <w:tmLastPosIdx w:val="0"/>
    </w:tmLastPosAnchor>
    <w:tmLastPosTblRect w:left="0" w:top="0" w:right="0" w:bottom="0"/>
  </w:tmLastPos>
  <w:tmAppRevision w:date="1791033481" w:val="982" w:fileVer="342" w:fileVer64="64" w:fileVerOS="4"/>
  <w:guidesAndGrid showGuides="1" lockGuides="0" snapToGuides="1" snapToPageMargins="0" snapToOtherObjects="1" tolerance="8" gridDistanceHorizontal="283"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Times New Roman"/>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240" w:after="60" w:line="240" w:lineRule="auto"/>
      <w:keepNext/>
      <w:outlineLvl w:val="0"/>
      <w:keepLines/>
      <w:widowControl w:val="0"/>
    </w:pPr>
    <w:rPr>
      <w:rFonts w:ascii="Arial" w:hAnsi="Arial" w:eastAsia="SimSun" w:cs="Arial"/>
      <w:b/>
      <w:bCs/>
      <w:kern w:val="1"/>
      <w:sz w:val="36"/>
      <w:szCs w:val="36"/>
      <w:lang w:val="de-ch"/>
    </w:rPr>
  </w:style>
  <w:style w:type="paragraph" w:styleId="para2">
    <w:name w:val="heading 2"/>
    <w:qFormat/>
    <w:basedOn w:val="para1"/>
    <w:next w:val="para0"/>
    <w:pPr>
      <w:outlineLvl w:val="1"/>
    </w:pPr>
    <w:rPr>
      <w:sz w:val="32"/>
      <w:szCs w:val="32"/>
    </w:rPr>
  </w:style>
  <w:style w:type="paragraph" w:styleId="para3">
    <w:name w:val="heading 3"/>
    <w:qFormat/>
    <w:basedOn w:val="para2"/>
    <w:next w:val="para0"/>
    <w:pPr>
      <w:outlineLvl w:val="2"/>
    </w:pPr>
    <w:rPr>
      <w:sz w:val="28"/>
      <w:szCs w:val="28"/>
    </w:rPr>
  </w:style>
  <w:style w:type="paragraph" w:styleId="para4">
    <w:name w:val="heading 4"/>
    <w:qFormat/>
    <w:basedOn w:val="para3"/>
    <w:next w:val="para0"/>
    <w:pPr>
      <w:outlineLvl w:val="3"/>
    </w:pPr>
    <w:rPr>
      <w:sz w:val="26"/>
      <w:szCs w:val="26"/>
    </w:rPr>
  </w:style>
  <w:style w:type="paragraph" w:styleId="para5">
    <w:name w:val="List Paragraph"/>
    <w:qFormat/>
    <w:basedOn w:val="para0"/>
    <w:pPr>
      <w:ind w:left="720"/>
      <w:contextualSpacing/>
    </w:pPr>
  </w:style>
  <w:style w:type="paragraph" w:styleId="para6">
    <w:name w:val="Normal (Web)"/>
    <w:qFormat/>
    <w:basedOn w:val="para0"/>
    <w:rPr>
      <w:rFonts w:ascii="Times New Roman" w:hAnsi="Times New Roman"/>
      <w:sz w:val="24"/>
      <w:szCs w:val="24"/>
    </w:rPr>
  </w:style>
  <w:style w:type="character" w:styleId="char0" w:default="1">
    <w:name w:val="Default Paragraph Font"/>
  </w:style>
  <w:style w:type="character" w:styleId="char1">
    <w:name w:val="Hyperlink"/>
    <w:rPr>
      <w:color w:val="0000ff"/>
      <w:u w:color="auto" w:val="single"/>
    </w:rPr>
  </w:style>
  <w:style w:type="character" w:styleId="char2" w:customStyle="1">
    <w:name w:val="Unresolved Mention"/>
    <w:basedOn w:val="char0"/>
    <w:rPr>
      <w:color w:val="605e5c"/>
      <w:shd w:val="clear" w:fill="e1dfdd"/>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Times New Roman"/>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240" w:after="60" w:line="240" w:lineRule="auto"/>
      <w:keepNext/>
      <w:outlineLvl w:val="0"/>
      <w:keepLines/>
      <w:widowControl w:val="0"/>
    </w:pPr>
    <w:rPr>
      <w:rFonts w:ascii="Arial" w:hAnsi="Arial" w:eastAsia="SimSun" w:cs="Arial"/>
      <w:b/>
      <w:bCs/>
      <w:kern w:val="1"/>
      <w:sz w:val="36"/>
      <w:szCs w:val="36"/>
      <w:lang w:val="de-ch"/>
    </w:rPr>
  </w:style>
  <w:style w:type="paragraph" w:styleId="para2">
    <w:name w:val="heading 2"/>
    <w:qFormat/>
    <w:basedOn w:val="para1"/>
    <w:next w:val="para0"/>
    <w:pPr>
      <w:outlineLvl w:val="1"/>
    </w:pPr>
    <w:rPr>
      <w:sz w:val="32"/>
      <w:szCs w:val="32"/>
    </w:rPr>
  </w:style>
  <w:style w:type="paragraph" w:styleId="para3">
    <w:name w:val="heading 3"/>
    <w:qFormat/>
    <w:basedOn w:val="para2"/>
    <w:next w:val="para0"/>
    <w:pPr>
      <w:outlineLvl w:val="2"/>
    </w:pPr>
    <w:rPr>
      <w:sz w:val="28"/>
      <w:szCs w:val="28"/>
    </w:rPr>
  </w:style>
  <w:style w:type="paragraph" w:styleId="para4">
    <w:name w:val="heading 4"/>
    <w:qFormat/>
    <w:basedOn w:val="para3"/>
    <w:next w:val="para0"/>
    <w:pPr>
      <w:outlineLvl w:val="3"/>
    </w:pPr>
    <w:rPr>
      <w:sz w:val="26"/>
      <w:szCs w:val="26"/>
    </w:rPr>
  </w:style>
  <w:style w:type="paragraph" w:styleId="para5">
    <w:name w:val="List Paragraph"/>
    <w:qFormat/>
    <w:basedOn w:val="para0"/>
    <w:pPr>
      <w:ind w:left="720"/>
      <w:contextualSpacing/>
    </w:pPr>
  </w:style>
  <w:style w:type="paragraph" w:styleId="para6">
    <w:name w:val="Normal (Web)"/>
    <w:qFormat/>
    <w:basedOn w:val="para0"/>
    <w:rPr>
      <w:rFonts w:ascii="Times New Roman" w:hAnsi="Times New Roman"/>
      <w:sz w:val="24"/>
      <w:szCs w:val="24"/>
    </w:rPr>
  </w:style>
  <w:style w:type="character" w:styleId="char0" w:default="1">
    <w:name w:val="Default Paragraph Font"/>
  </w:style>
  <w:style w:type="character" w:styleId="char1">
    <w:name w:val="Hyperlink"/>
    <w:rPr>
      <w:color w:val="0000ff"/>
      <w:u w:color="auto" w:val="single"/>
    </w:rPr>
  </w:style>
  <w:style w:type="character" w:styleId="char2" w:customStyle="1">
    <w:name w:val="Unresolved Mention"/>
    <w:basedOn w:val="char0"/>
    <w:rPr>
      <w:color w:val="605e5c"/>
      <w:shd w:val="clear" w:fill="e1dfdd"/>
    </w:rPr>
  </w:style>
  <w:style w:type="table" w:default="1" w:styleId="TableNormal">
    <w:name w:val="Normale Tabelle"/>
    <w:uiPriority w:val="99"/>
    <w:semiHidden/>
    <w:unhideWhenUsed/>
    <w:tblPr>
      <w:tblStyleRowBandSize w:val="1"/>
      <w:tblStyleColBandSize w:val="1"/>
      <w:tblInd w:w="0" w:type="dxa"/>
      <w:tblCellMar>
        <w:top w:w="0" w:type="dxa"/>
        <w:left w:w="108" w:type="dxa"/>
        <w:bottom w:w="0" w:type="dxa"/>
        <w:right w:w="108" w:type="dxa"/>
      </w:tblCellMar>
    </w:tblPr>
  </w:style>
  <w:style w:type="table" w:styleId="NormalTable">
    <w:name w:val="Normal Table"/>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hyperlink" Target="https://iccrussiagermany.org/members" TargetMode="External"/><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png"/><Relationship Id="rId15" Type="http://schemas.openxmlformats.org/officeDocument/2006/relationships/hyperlink" Target="https://iccrussiagermany.org/news-de" TargetMode="External"/><Relationship Id="rId16" Type="http://schemas.openxmlformats.org/officeDocument/2006/relationships/image" Target="media/image7.jpeg"/><Relationship Id="rId17" Type="http://schemas.openxmlformats.org/officeDocument/2006/relationships/image" Target="media/image8.jpeg"/><Relationship Id="rId18" Type="http://schemas.openxmlformats.org/officeDocument/2006/relationships/image" Target="media/image9.jpeg"/><Relationship Id="rId19" Type="http://schemas.openxmlformats.org/officeDocument/2006/relationships/image" Target="media/image10.png"/><Relationship Id="rId20" Type="http://schemas.openxmlformats.org/officeDocument/2006/relationships/hyperlink" Target="https://rotary.de/online/detail/internationales-camp-setzt-zeichen-der-versaendigung" TargetMode="External"/><Relationship Id="rId21" Type="http://schemas.openxmlformats.org/officeDocument/2006/relationships/hyperlink" Target="https://rotary.de/online/detail/d1930-musikfuerdenfrieden-preis" TargetMode="External"/><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SimSun"/>
        <a:cs typeface="Arial"/>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2018 rev.982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König</dc:creator>
  <cp:keywords/>
  <dc:description/>
  <cp:lastModifiedBy>N A K</cp:lastModifiedBy>
  <cp:revision>6</cp:revision>
  <dcterms:created xsi:type="dcterms:W3CDTF">2026-06-24T09:59:00Z</dcterms:created>
  <dcterms:modified xsi:type="dcterms:W3CDTF">2026-10-03T13:18:01Z</dcterms:modified>
</cp:coreProperties>
</file>